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0885" w14:textId="77777777" w:rsidR="00A95059" w:rsidRDefault="006968C8" w:rsidP="00E615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Species Report</w:t>
      </w:r>
    </w:p>
    <w:p w14:paraId="3427A571" w14:textId="77777777" w:rsidR="00204422" w:rsidRPr="0003044B" w:rsidRDefault="00204422" w:rsidP="00E6158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002B2B2" w14:textId="08CDE38A" w:rsidR="00F5198C" w:rsidRPr="0003044B" w:rsidRDefault="006E4B64" w:rsidP="00542D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sz w:val="44"/>
          <w:szCs w:val="44"/>
        </w:rPr>
        <w:t>Phalaenopsis</w:t>
      </w:r>
      <w:r w:rsidR="006C2290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proofErr w:type="spellStart"/>
      <w:proofErr w:type="gramStart"/>
      <w:r w:rsidR="00683D53">
        <w:rPr>
          <w:rFonts w:ascii="Times New Roman" w:hAnsi="Times New Roman" w:cs="Times New Roman"/>
          <w:bCs/>
          <w:i/>
          <w:sz w:val="44"/>
          <w:szCs w:val="44"/>
        </w:rPr>
        <w:t>mannii</w:t>
      </w:r>
      <w:proofErr w:type="spellEnd"/>
      <w:r w:rsidR="00E6158A" w:rsidRPr="0003044B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r w:rsidR="00F5198C" w:rsidRPr="0003044B">
        <w:rPr>
          <w:rFonts w:ascii="Times New Roman" w:hAnsi="Times New Roman" w:cs="Times New Roman"/>
          <w:bCs/>
        </w:rPr>
        <w:t xml:space="preserve"> </w:t>
      </w:r>
      <w:proofErr w:type="spellStart"/>
      <w:r w:rsidR="005101DC">
        <w:rPr>
          <w:rFonts w:ascii="Times New Roman" w:hAnsi="Times New Roman" w:cs="Times New Roman"/>
          <w:bCs/>
          <w:sz w:val="24"/>
          <w:szCs w:val="24"/>
        </w:rPr>
        <w:t>Rchb.f</w:t>
      </w:r>
      <w:proofErr w:type="spellEnd"/>
      <w:r w:rsidR="005101D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101DC">
        <w:rPr>
          <w:rFonts w:ascii="Times New Roman" w:hAnsi="Times New Roman" w:cs="Times New Roman"/>
          <w:bCs/>
          <w:sz w:val="24"/>
          <w:szCs w:val="24"/>
        </w:rPr>
        <w:t xml:space="preserve"> 1879</w:t>
      </w:r>
    </w:p>
    <w:p w14:paraId="328E3DEB" w14:textId="5A3ED3A5" w:rsidR="00F5198C" w:rsidRPr="00EB0EE8" w:rsidRDefault="00EB0EE8" w:rsidP="00542D3D">
      <w:pP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SUBGENUS P</w:t>
      </w:r>
      <w:r w:rsidR="005101DC">
        <w:rPr>
          <w:rFonts w:ascii="Times New Roman" w:hAnsi="Times New Roman" w:cs="Times New Roman"/>
          <w:bCs/>
          <w:iCs/>
          <w:sz w:val="24"/>
          <w:szCs w:val="24"/>
        </w:rPr>
        <w:t>halaenopsis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SECTION </w:t>
      </w:r>
      <w:proofErr w:type="spellStart"/>
      <w:r w:rsidR="00A0687B">
        <w:rPr>
          <w:rFonts w:ascii="Times New Roman" w:hAnsi="Times New Roman" w:cs="Times New Roman"/>
          <w:bCs/>
          <w:iCs/>
          <w:sz w:val="24"/>
          <w:szCs w:val="24"/>
        </w:rPr>
        <w:t>Polychilos</w:t>
      </w:r>
      <w:proofErr w:type="spellEnd"/>
      <w:r w:rsidR="00A0687B">
        <w:rPr>
          <w:rFonts w:ascii="Times New Roman" w:hAnsi="Times New Roman" w:cs="Times New Roman"/>
          <w:bCs/>
          <w:iCs/>
          <w:sz w:val="24"/>
          <w:szCs w:val="24"/>
        </w:rPr>
        <w:t xml:space="preserve"> (Breda) </w:t>
      </w:r>
      <w:proofErr w:type="spellStart"/>
      <w:r w:rsidR="00A0687B">
        <w:rPr>
          <w:rFonts w:ascii="Times New Roman" w:hAnsi="Times New Roman" w:cs="Times New Roman"/>
          <w:bCs/>
          <w:iCs/>
          <w:sz w:val="24"/>
          <w:szCs w:val="24"/>
        </w:rPr>
        <w:t>Rchb.f</w:t>
      </w:r>
      <w:proofErr w:type="spellEnd"/>
      <w:r w:rsidR="00A0687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3</w:t>
      </w:r>
    </w:p>
    <w:p w14:paraId="15EA1F8A" w14:textId="77777777" w:rsidR="00BE5F43" w:rsidRPr="0003044B" w:rsidRDefault="00BE5F43" w:rsidP="00542D3D">
      <w:pPr>
        <w:rPr>
          <w:rFonts w:ascii="Times New Roman" w:hAnsi="Times New Roman" w:cs="Times New Roman"/>
          <w:noProof/>
          <w:sz w:val="24"/>
          <w:szCs w:val="24"/>
        </w:rPr>
      </w:pPr>
    </w:p>
    <w:p w14:paraId="51C8A954" w14:textId="77777777" w:rsidR="00542D3D" w:rsidRPr="0003044B" w:rsidRDefault="00AF67DB" w:rsidP="00F8275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Description</w:t>
      </w:r>
      <w:r w:rsidR="00F82750" w:rsidRPr="0003044B">
        <w:rPr>
          <w:rFonts w:ascii="Times New Roman" w:hAnsi="Times New Roman" w:cs="Times New Roman"/>
          <w:b/>
          <w:sz w:val="28"/>
          <w:szCs w:val="28"/>
        </w:rPr>
        <w:t>:</w:t>
      </w:r>
    </w:p>
    <w:p w14:paraId="1A14DE33" w14:textId="45687AD2" w:rsidR="00BE5F43" w:rsidRDefault="00BE5F43" w:rsidP="00542D3D">
      <w:pPr>
        <w:spacing w:line="360" w:lineRule="auto"/>
        <w:rPr>
          <w:rFonts w:ascii="Times New Roman" w:hAnsi="Times New Roman" w:cs="Times New Roman"/>
          <w:bCs/>
        </w:rPr>
      </w:pPr>
    </w:p>
    <w:p w14:paraId="2D9D0679" w14:textId="38F5EB61" w:rsidR="0036236F" w:rsidRDefault="00F2705B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3D5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9C4F251" wp14:editId="113BACBE">
            <wp:simplePos x="0" y="0"/>
            <wp:positionH relativeFrom="column">
              <wp:posOffset>2874645</wp:posOffset>
            </wp:positionH>
            <wp:positionV relativeFrom="paragraph">
              <wp:posOffset>138430</wp:posOffset>
            </wp:positionV>
            <wp:extent cx="3003550" cy="2725420"/>
            <wp:effectExtent l="0" t="0" r="6350" b="0"/>
            <wp:wrapTight wrapText="bothSides">
              <wp:wrapPolygon edited="0">
                <wp:start x="0" y="0"/>
                <wp:lineTo x="0" y="21439"/>
                <wp:lineTo x="21509" y="21439"/>
                <wp:lineTo x="215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8D" w:rsidRPr="00683D53">
        <w:rPr>
          <w:rFonts w:ascii="Times New Roman" w:hAnsi="Times New Roman" w:cs="Times New Roman"/>
          <w:bCs/>
          <w:sz w:val="24"/>
          <w:szCs w:val="24"/>
        </w:rPr>
        <w:t>A</w:t>
      </w:r>
      <w:r w:rsidR="00EB0EE8" w:rsidRPr="0068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D53" w:rsidRPr="00683D53">
        <w:rPr>
          <w:rFonts w:ascii="Times New Roman" w:hAnsi="Times New Roman" w:cs="Times New Roman"/>
          <w:bCs/>
          <w:sz w:val="24"/>
          <w:szCs w:val="24"/>
        </w:rPr>
        <w:t xml:space="preserve">small to just medium sized, warm to cool growing, pendulous epiphytic species with a short stem enveloped by imbricating leaf bases carrying 4 to 5, oblong-oblanceolate to oblong-ligulate, shiny, fleshy, acute, medium green leaves. They like shady areas with high humidity and a distinctly drier winter rest that helps initiate spring blooming on a slender, pendulous, to 18" [45 cm] long, racemose or rarely paniculate, laxly many [to 70] flowered inflorescence that is as long as the leaves with small ovate-lanceolate bracts with mandarin orange scented, waxy, long-lived flowers appearing in </w:t>
      </w:r>
      <w:proofErr w:type="spellStart"/>
      <w:r w:rsidR="00683D53" w:rsidRPr="00683D53">
        <w:rPr>
          <w:rFonts w:ascii="Times New Roman" w:hAnsi="Times New Roman" w:cs="Times New Roman"/>
          <w:bCs/>
          <w:sz w:val="24"/>
          <w:szCs w:val="24"/>
        </w:rPr>
        <w:t>succesion</w:t>
      </w:r>
      <w:proofErr w:type="spellEnd"/>
      <w:r w:rsidR="00683D53" w:rsidRPr="00683D53">
        <w:rPr>
          <w:rFonts w:ascii="Times New Roman" w:hAnsi="Times New Roman" w:cs="Times New Roman"/>
          <w:bCs/>
          <w:sz w:val="24"/>
          <w:szCs w:val="24"/>
        </w:rPr>
        <w:t>.</w:t>
      </w:r>
      <w:r w:rsidR="00683D53">
        <w:rPr>
          <w:b/>
          <w:bCs/>
        </w:rPr>
        <w:t xml:space="preserve"> </w:t>
      </w:r>
      <w:r w:rsidR="00A45A18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935A9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62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0E0F6B" w14:textId="5263DED2" w:rsidR="00C80205" w:rsidRPr="00C8107C" w:rsidRDefault="001D6738" w:rsidP="001D6738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D6738">
        <w:rPr>
          <w:rFonts w:ascii="Times New Roman" w:hAnsi="Times New Roman" w:cs="Times New Roman"/>
          <w:bCs/>
          <w:sz w:val="24"/>
          <w:szCs w:val="24"/>
        </w:rPr>
        <w:t xml:space="preserve">Leaves elliptic-obovate, tapered to the conduplicate base, </w:t>
      </w:r>
      <w:r w:rsidR="00B6212E">
        <w:rPr>
          <w:rFonts w:ascii="Times New Roman" w:hAnsi="Times New Roman" w:cs="Times New Roman"/>
          <w:bCs/>
          <w:sz w:val="24"/>
          <w:szCs w:val="24"/>
        </w:rPr>
        <w:t>roun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ded, acute, to 32 x 11 cm. Inflorescences arching to </w:t>
      </w:r>
      <w:r w:rsidR="00B6212E" w:rsidRPr="001D6738">
        <w:rPr>
          <w:rFonts w:ascii="Times New Roman" w:hAnsi="Times New Roman" w:cs="Times New Roman"/>
          <w:bCs/>
          <w:sz w:val="24"/>
          <w:szCs w:val="24"/>
        </w:rPr>
        <w:t>sub pendent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 racemes or panicles, to 30 cm long, the floral bracts triangular, acute, concave, to 5 mm long. Flowers fragrant, the sepals and petals cream to greenish cream overlaid with brown barring, the bars transverse to-ward the base of the segments and typically longitudinally aligned to-ward the apex, extreme individuals bear nearly solid red flowers, the lip white with broad longitudinal purple stripes all but obscuring the ground color, the column white. Dorsal sepal oblong-elliptic, obtuse or minutely notched, convex, to 40 x 13 mm, the lateral sepals obliquely oblong-obovate, obtuse, shallowly convex, to 30 x 15 mm. </w:t>
      </w:r>
      <w:r w:rsidRPr="001D6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Petals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ob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-long-oblanceolate, bluntly subacute, to 35 x 12 mm. Lip three-lobed, to 20 mm long, to 17 mm wide across the expanded lateral lobes, the lateral lobes erect, oblong-elliptic, truncate with the elongate corners, the posterior corner falcate, the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midlobe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oblong, obtuse, with a central raised keel, with a boss of dense trichomes at the apex, the callus apparently uniseriate, sulcate, bifid, at the base continuous with a structure analogous to a posterior keel, forming a sunken pit. Column arching, with a coarsely erose-dentate hood over the anther bed. Pedicel and ovary to 4 cm long.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Confusion has ever surrounded the </w:t>
      </w:r>
      <w:r>
        <w:rPr>
          <w:rFonts w:ascii="Times New Roman" w:hAnsi="Times New Roman" w:cs="Times New Roman"/>
          <w:bCs/>
          <w:sz w:val="24"/>
          <w:szCs w:val="24"/>
        </w:rPr>
        <w:t>id</w:t>
      </w:r>
      <w:r w:rsidRPr="001D6738">
        <w:rPr>
          <w:rFonts w:ascii="Times New Roman" w:hAnsi="Times New Roman" w:cs="Times New Roman"/>
          <w:bCs/>
          <w:sz w:val="24"/>
          <w:szCs w:val="24"/>
        </w:rPr>
        <w:t>entity o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</w:t>
      </w:r>
      <w:r w:rsidRPr="001D6738">
        <w:rPr>
          <w:rFonts w:ascii="Times New Roman" w:hAnsi="Times New Roman" w:cs="Times New Roman"/>
          <w:bCs/>
          <w:sz w:val="24"/>
          <w:szCs w:val="24"/>
        </w:rPr>
        <w:t>is species an</w:t>
      </w:r>
      <w:r>
        <w:rPr>
          <w:rFonts w:ascii="Times New Roman" w:hAnsi="Times New Roman" w:cs="Times New Roman"/>
          <w:bCs/>
          <w:sz w:val="24"/>
          <w:szCs w:val="24"/>
        </w:rPr>
        <w:t>d th</w:t>
      </w:r>
      <w:r w:rsidRPr="001D6738">
        <w:rPr>
          <w:rFonts w:ascii="Times New Roman" w:hAnsi="Times New Roman" w:cs="Times New Roman"/>
          <w:bCs/>
          <w:sz w:val="24"/>
          <w:szCs w:val="24"/>
        </w:rPr>
        <w:t>e va</w:t>
      </w:r>
      <w:r>
        <w:rPr>
          <w:rFonts w:ascii="Times New Roman" w:hAnsi="Times New Roman" w:cs="Times New Roman"/>
          <w:bCs/>
          <w:sz w:val="24"/>
          <w:szCs w:val="24"/>
        </w:rPr>
        <w:t>ri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ous darker color morphs of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, compounded by repeated misidentifications of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as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in horticulture. In addition,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>-ana is rare in cultivation, and most growers are therefore unacquainted with it. Though these two species are closely related sister species, once you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738">
        <w:rPr>
          <w:rFonts w:ascii="Times New Roman" w:hAnsi="Times New Roman" w:cs="Times New Roman"/>
          <w:bCs/>
          <w:sz w:val="24"/>
          <w:szCs w:val="24"/>
        </w:rPr>
        <w:t xml:space="preserve">have seen true P.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, there is no mistaking it for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. Maynard Michel (pers. comm.) relates that true P.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came into cultivation in the 1970s in California, where a large seedling population was raised. But most growers found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difficult to grow, and the species soon became rare again in cultivation. Plants currently in cultivation, however, do not appear to be any more difficult to grow than P.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and other species in this section. In addition to the differences in callus morphology, P.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has been distinguished from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by the pattern of markings on the sepals and petals. In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the markings are arranged in longitudinal stripes toward the apex of the sepals and petals. In contrast, the markings in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are always transverse (from side to side), all the way to the apex of the sepals and petals. That difference does work most of the time, but it is a moot point in heavily pigmented clones of either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or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, where the pattern of the markings is obscured. The best character with which to separate these sister species is the floral fragrance. Phalaenopsis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has wonderfully scented flow-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ers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reminiscent of old-fashioned ribbon candy. Phalaenopsis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, on the other hand, has a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mildy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acrid fragrance without any of the spicy tones of candy. Maynard Michel suggested the strong difference in fragrance between the species, and I was able to confirm these differences with side-by-side flowering plants in the collection of Jerry and Yoko Fischer in Minneapolis. Differences in floral fragrances implies separate pollinators and a degree of biological isolation in nature. I follow Sweet in placing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sanguinea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in synonymy, although his drawing of the type shows a callus more similar to true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than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. In this regard, special note should be taken of the solid red clone recently illustrated in the Orchids of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Bor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-neo (vol. 1, pl. </w:t>
      </w:r>
      <w:r w:rsidRPr="001D6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16e, as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), which matches the phase of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described as P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1D6738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proofErr w:type="spellStart"/>
      <w:r w:rsidRPr="001D6738">
        <w:rPr>
          <w:rFonts w:ascii="Times New Roman" w:hAnsi="Times New Roman" w:cs="Times New Roman"/>
          <w:bCs/>
          <w:sz w:val="24"/>
          <w:szCs w:val="24"/>
        </w:rPr>
        <w:t>san</w:t>
      </w:r>
      <w:r w:rsidR="000D4911" w:rsidRPr="000D4911">
        <w:rPr>
          <w:rFonts w:ascii="Times New Roman" w:hAnsi="Times New Roman" w:cs="Times New Roman"/>
          <w:bCs/>
          <w:sz w:val="24"/>
          <w:szCs w:val="24"/>
        </w:rPr>
        <w:t>guinea</w:t>
      </w:r>
      <w:proofErr w:type="spellEnd"/>
      <w:r w:rsidR="000D4911" w:rsidRPr="000D4911">
        <w:rPr>
          <w:rFonts w:ascii="Times New Roman" w:hAnsi="Times New Roman" w:cs="Times New Roman"/>
          <w:bCs/>
          <w:sz w:val="24"/>
          <w:szCs w:val="24"/>
        </w:rPr>
        <w:t>. No transfer of this varietal name is taken here pending the re-</w:t>
      </w:r>
      <w:proofErr w:type="spellStart"/>
      <w:r w:rsidR="000D4911" w:rsidRPr="000D4911">
        <w:rPr>
          <w:rFonts w:ascii="Times New Roman" w:hAnsi="Times New Roman" w:cs="Times New Roman"/>
          <w:bCs/>
          <w:sz w:val="24"/>
          <w:szCs w:val="24"/>
        </w:rPr>
        <w:t>sults</w:t>
      </w:r>
      <w:proofErr w:type="spellEnd"/>
      <w:r w:rsidR="000D4911" w:rsidRPr="000D4911">
        <w:rPr>
          <w:rFonts w:ascii="Times New Roman" w:hAnsi="Times New Roman" w:cs="Times New Roman"/>
          <w:bCs/>
          <w:sz w:val="24"/>
          <w:szCs w:val="24"/>
        </w:rPr>
        <w:t xml:space="preserve"> of studies in Borneo on the geographic distribution of these color morphs in nature. Sweet (1980) recorded the inflorescences of P. </w:t>
      </w:r>
      <w:proofErr w:type="spellStart"/>
      <w:r w:rsidR="000D4911" w:rsidRPr="000D4911">
        <w:rPr>
          <w:rFonts w:ascii="Times New Roman" w:hAnsi="Times New Roman" w:cs="Times New Roman"/>
          <w:bCs/>
          <w:sz w:val="24"/>
          <w:szCs w:val="24"/>
        </w:rPr>
        <w:t>corningiana</w:t>
      </w:r>
      <w:proofErr w:type="spellEnd"/>
      <w:r w:rsidR="000D4911" w:rsidRPr="000D4911">
        <w:rPr>
          <w:rFonts w:ascii="Times New Roman" w:hAnsi="Times New Roman" w:cs="Times New Roman"/>
          <w:bCs/>
          <w:sz w:val="24"/>
          <w:szCs w:val="24"/>
        </w:rPr>
        <w:t xml:space="preserve"> as "much shorter than the subtending leaves." This was a bias from the very limited horticultural material available at the time. Weak or first-bloom seedlings typically bear short, few-flowered racemes. More robust plants typically have panicles somewhat longer than the leaves, similar to those found in P sumatrana.</w:t>
      </w:r>
      <w:r w:rsidR="0036236F" w:rsidRPr="00C8107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C8107C" w:rsidRPr="00C8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07C" w:rsidRPr="00C8107C">
        <w:rPr>
          <w:rFonts w:ascii="Times New Roman" w:hAnsi="Times New Roman" w:cs="Times New Roman"/>
          <w:bCs/>
          <w:sz w:val="24"/>
          <w:szCs w:val="24"/>
        </w:rPr>
        <w:t xml:space="preserve">Epiphytes eventually forming clumps by basal stem branches. Leaves oblong-oblanceolate to narrowly elliptic, acute, medium green to pale silvery green, often with fine brown submarginal spotting especially to-ward the base of the leaves, to 37 x 7 cm. Inflorescences arching-sub-pendent racemes or panicles, loosely many-flowered, the peduncle and rachis terete, the floral bracts oblong-lanceolate, concave, acute, to 1 cm long. Flowers numerous, waxy, glossy, long-lasting, the sepals and petals yellow with dark brown spotting and barring, the </w:t>
      </w:r>
      <w:proofErr w:type="spellStart"/>
      <w:r w:rsidR="00C8107C" w:rsidRPr="00C8107C">
        <w:rPr>
          <w:rFonts w:ascii="Times New Roman" w:hAnsi="Times New Roman" w:cs="Times New Roman"/>
          <w:bCs/>
          <w:sz w:val="24"/>
          <w:szCs w:val="24"/>
        </w:rPr>
        <w:t>midlobe</w:t>
      </w:r>
      <w:proofErr w:type="spellEnd"/>
      <w:r w:rsidR="00C8107C" w:rsidRPr="00C8107C">
        <w:rPr>
          <w:rFonts w:ascii="Times New Roman" w:hAnsi="Times New Roman" w:cs="Times New Roman"/>
          <w:bCs/>
          <w:sz w:val="24"/>
          <w:szCs w:val="24"/>
        </w:rPr>
        <w:t xml:space="preserve"> of the lip white, the column yellow. Dorsal sepal oblong-oblanceolate, acute, margins revolute, to 2.4 x 0.8 cm, the lateral sepals obliquely elliptic-oblanceolate, </w:t>
      </w:r>
      <w:proofErr w:type="spellStart"/>
      <w:r w:rsidR="00C8107C" w:rsidRPr="00C8107C">
        <w:rPr>
          <w:rFonts w:ascii="Times New Roman" w:hAnsi="Times New Roman" w:cs="Times New Roman"/>
          <w:bCs/>
          <w:sz w:val="24"/>
          <w:szCs w:val="24"/>
        </w:rPr>
        <w:t>subfalcate</w:t>
      </w:r>
      <w:proofErr w:type="spellEnd"/>
      <w:r w:rsidR="00C8107C" w:rsidRPr="00C8107C">
        <w:rPr>
          <w:rFonts w:ascii="Times New Roman" w:hAnsi="Times New Roman" w:cs="Times New Roman"/>
          <w:bCs/>
          <w:sz w:val="24"/>
          <w:szCs w:val="24"/>
        </w:rPr>
        <w:t xml:space="preserve"> ("bowlegged') at the apex, acute, margins revolute, to 2.5 x 1.1 cm. Petals lanceolate, acute, often incurved, to 2.0 x 0.6 cm. Lip three-lobed, to 1.1 cm long, to 1.1 cm across the expanded lateral lobes, the lateral lobes erect, appressed, oblong-subquadrate, obliquely truncate, the </w:t>
      </w:r>
      <w:proofErr w:type="spellStart"/>
      <w:r w:rsidR="00C8107C" w:rsidRPr="00C8107C">
        <w:rPr>
          <w:rFonts w:ascii="Times New Roman" w:hAnsi="Times New Roman" w:cs="Times New Roman"/>
          <w:bCs/>
          <w:sz w:val="24"/>
          <w:szCs w:val="24"/>
        </w:rPr>
        <w:t>midlobe</w:t>
      </w:r>
      <w:proofErr w:type="spellEnd"/>
      <w:r w:rsidR="00C8107C" w:rsidRPr="00C8107C">
        <w:rPr>
          <w:rFonts w:ascii="Times New Roman" w:hAnsi="Times New Roman" w:cs="Times New Roman"/>
          <w:bCs/>
          <w:sz w:val="24"/>
          <w:szCs w:val="24"/>
        </w:rPr>
        <w:t xml:space="preserve"> transverse, anchor-shaped, the margins fimbriate-erose, the apex a swollen knob with sparse trichomes, the callus </w:t>
      </w:r>
      <w:proofErr w:type="spellStart"/>
      <w:r w:rsidR="00C8107C" w:rsidRPr="00C8107C">
        <w:rPr>
          <w:rFonts w:ascii="Times New Roman" w:hAnsi="Times New Roman" w:cs="Times New Roman"/>
          <w:bCs/>
          <w:sz w:val="24"/>
          <w:szCs w:val="24"/>
        </w:rPr>
        <w:t>triseriate</w:t>
      </w:r>
      <w:proofErr w:type="spellEnd"/>
      <w:r w:rsidR="00C8107C" w:rsidRPr="00C8107C">
        <w:rPr>
          <w:rFonts w:ascii="Times New Roman" w:hAnsi="Times New Roman" w:cs="Times New Roman"/>
          <w:bCs/>
          <w:sz w:val="24"/>
          <w:szCs w:val="24"/>
        </w:rPr>
        <w:t>, the posterior callus a small glandular patch, the middle callus a bifid plate with long, filiform divisions, the anterior callus an erect, bilaterally compressed tooth. Column arching, club-shaped, to 0.8 cm long, with prominent basal knees. Pedicel and ovary to 3 cm long.</w:t>
      </w:r>
      <w:r w:rsidR="00C8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07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14:paraId="4272764E" w14:textId="77777777" w:rsidR="00EB0EE8" w:rsidRPr="0003044B" w:rsidRDefault="00EB0EE8" w:rsidP="00EB0EE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Synonyms:</w:t>
      </w:r>
    </w:p>
    <w:p w14:paraId="12045937" w14:textId="77777777" w:rsidR="00AB23FE" w:rsidRDefault="00AB23FE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64C53B" w14:textId="77625283" w:rsidR="00BB67F6" w:rsidRPr="00BB67F6" w:rsidRDefault="00AB23FE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B23FE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proofErr w:type="spellStart"/>
      <w:r w:rsidRPr="00AB23FE">
        <w:rPr>
          <w:rFonts w:ascii="Times New Roman" w:hAnsi="Times New Roman" w:cs="Times New Roman"/>
          <w:i/>
          <w:iCs/>
          <w:sz w:val="24"/>
          <w:szCs w:val="24"/>
        </w:rPr>
        <w:t>boxalli</w:t>
      </w:r>
      <w:proofErr w:type="spellEnd"/>
      <w:r w:rsidRPr="00AB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3FE">
        <w:rPr>
          <w:rFonts w:ascii="Times New Roman" w:hAnsi="Times New Roman" w:cs="Times New Roman"/>
          <w:sz w:val="24"/>
          <w:szCs w:val="24"/>
        </w:rPr>
        <w:t>Rchb.f</w:t>
      </w:r>
      <w:proofErr w:type="spellEnd"/>
      <w:r w:rsidRPr="00AB23FE">
        <w:rPr>
          <w:rFonts w:ascii="Times New Roman" w:hAnsi="Times New Roman" w:cs="Times New Roman"/>
          <w:sz w:val="24"/>
          <w:szCs w:val="24"/>
        </w:rPr>
        <w:t xml:space="preserve"> 1883; </w:t>
      </w:r>
      <w:r w:rsidRPr="00AB23FE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proofErr w:type="spellStart"/>
      <w:r w:rsidRPr="00AB23FE">
        <w:rPr>
          <w:rFonts w:ascii="Times New Roman" w:hAnsi="Times New Roman" w:cs="Times New Roman"/>
          <w:i/>
          <w:iCs/>
          <w:sz w:val="24"/>
          <w:szCs w:val="24"/>
        </w:rPr>
        <w:t>mannii</w:t>
      </w:r>
      <w:proofErr w:type="spellEnd"/>
      <w:r w:rsidRPr="00AB23FE">
        <w:rPr>
          <w:rFonts w:ascii="Times New Roman" w:hAnsi="Times New Roman" w:cs="Times New Roman"/>
          <w:sz w:val="24"/>
          <w:szCs w:val="24"/>
        </w:rPr>
        <w:t xml:space="preserve"> f. flava Christenson 2001;</w:t>
      </w:r>
      <w:r w:rsidRPr="00AB2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23FE">
        <w:rPr>
          <w:rFonts w:ascii="Times New Roman" w:hAnsi="Times New Roman" w:cs="Times New Roman"/>
          <w:i/>
          <w:iCs/>
          <w:sz w:val="24"/>
          <w:szCs w:val="24"/>
        </w:rPr>
        <w:t>Polychilos</w:t>
      </w:r>
      <w:proofErr w:type="spellEnd"/>
      <w:r w:rsidRPr="00AB2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23FE">
        <w:rPr>
          <w:rFonts w:ascii="Times New Roman" w:hAnsi="Times New Roman" w:cs="Times New Roman"/>
          <w:i/>
          <w:iCs/>
          <w:sz w:val="24"/>
          <w:szCs w:val="24"/>
        </w:rPr>
        <w:t>mannii</w:t>
      </w:r>
      <w:proofErr w:type="spellEnd"/>
      <w:r w:rsidRPr="00AB2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23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23FE">
        <w:rPr>
          <w:rFonts w:ascii="Times New Roman" w:hAnsi="Times New Roman" w:cs="Times New Roman"/>
          <w:sz w:val="24"/>
          <w:szCs w:val="24"/>
        </w:rPr>
        <w:t>Rchb</w:t>
      </w:r>
      <w:proofErr w:type="spellEnd"/>
      <w:r w:rsidRPr="00AB23FE">
        <w:rPr>
          <w:rFonts w:ascii="Times New Roman" w:hAnsi="Times New Roman" w:cs="Times New Roman"/>
          <w:sz w:val="24"/>
          <w:szCs w:val="24"/>
        </w:rPr>
        <w:t>. f.) Shim 1982</w:t>
      </w:r>
      <w:r>
        <w:rPr>
          <w:b/>
          <w:bCs/>
        </w:rPr>
        <w:t xml:space="preserve"> </w:t>
      </w:r>
      <w:r w:rsidR="00EB0EE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36236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199A3424" w14:textId="12B48EDA" w:rsidR="00AF67DB" w:rsidRPr="0003044B" w:rsidRDefault="00AF67DB" w:rsidP="00AF67DB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Distribution/Habitat:</w:t>
      </w:r>
    </w:p>
    <w:p w14:paraId="4BCF1834" w14:textId="77777777" w:rsidR="00BE5F43" w:rsidRDefault="00BE5F43" w:rsidP="00542D3D">
      <w:pPr>
        <w:spacing w:line="360" w:lineRule="auto"/>
        <w:rPr>
          <w:rFonts w:ascii="Times New Roman" w:hAnsi="Times New Roman" w:cs="Times New Roman"/>
          <w:bCs/>
        </w:rPr>
      </w:pPr>
    </w:p>
    <w:p w14:paraId="62E05589" w14:textId="681A531E" w:rsidR="00450572" w:rsidRPr="00B91A50" w:rsidRDefault="00B91A50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91A50">
        <w:rPr>
          <w:rFonts w:ascii="Times New Roman" w:hAnsi="Times New Roman" w:cs="Times New Roman"/>
          <w:bCs/>
          <w:sz w:val="24"/>
          <w:szCs w:val="24"/>
        </w:rPr>
        <w:t xml:space="preserve">India and Vietnam at 1500 ft. (457 m). It usually grows near forest streams or marshes which, together with dense undergrowth, result in high humidity year-round, despite dry conditions in </w:t>
      </w:r>
      <w:r w:rsidRPr="00B91A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adjacent areas. The plants grow 10-15 ft. (3-5 m) above the very dark forest floor on rough-barked trees. </w:t>
      </w:r>
      <w:r w:rsidR="00CC469A" w:rsidRPr="00B91A50">
        <w:rPr>
          <w:rFonts w:ascii="Times New Roman" w:hAnsi="Times New Roman" w:cs="Times New Roman"/>
          <w:bCs/>
          <w:sz w:val="24"/>
          <w:szCs w:val="24"/>
        </w:rPr>
        <w:t>-- Source: Charles Baker</w:t>
      </w:r>
      <w:r w:rsidR="00450572" w:rsidRPr="00B91A50">
        <w:rPr>
          <w:rFonts w:ascii="Times New Roman" w:hAnsi="Times New Roman" w:cs="Times New Roman"/>
          <w:bCs/>
          <w:sz w:val="24"/>
          <w:szCs w:val="24"/>
        </w:rPr>
        <w:t>).</w:t>
      </w:r>
      <w:r w:rsidR="00CC469A" w:rsidRPr="00B91A50">
        <w:rPr>
          <w:b/>
          <w:bCs/>
          <w:sz w:val="24"/>
          <w:szCs w:val="24"/>
        </w:rPr>
        <w:t xml:space="preserve"> </w:t>
      </w:r>
      <w:r w:rsidRPr="00B91A50">
        <w:rPr>
          <w:rFonts w:ascii="Times New Roman" w:hAnsi="Times New Roman" w:cs="Times New Roman"/>
          <w:sz w:val="24"/>
          <w:szCs w:val="24"/>
        </w:rPr>
        <w:t xml:space="preserve">Found through the eastern Indian Himalayas, Assam, Nepal, Bhutan, Sikkim, Myanmar, southern China and Vietnam at elevations of 500 to 1500 meters in humid </w:t>
      </w:r>
      <w:proofErr w:type="spellStart"/>
      <w:r w:rsidRPr="00B91A50">
        <w:rPr>
          <w:rFonts w:ascii="Times New Roman" w:hAnsi="Times New Roman" w:cs="Times New Roman"/>
          <w:sz w:val="24"/>
          <w:szCs w:val="24"/>
        </w:rPr>
        <w:t>broadleafed</w:t>
      </w:r>
      <w:proofErr w:type="spellEnd"/>
      <w:r w:rsidRPr="00B91A50">
        <w:rPr>
          <w:rFonts w:ascii="Times New Roman" w:hAnsi="Times New Roman" w:cs="Times New Roman"/>
          <w:sz w:val="24"/>
          <w:szCs w:val="24"/>
        </w:rPr>
        <w:t xml:space="preserve"> evergreen forests with dense undergrowth near streams and rivers on rough barked trees even though there is not much falling rain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33E5005" w14:textId="77777777" w:rsidR="00F84C15" w:rsidRPr="0003044B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Awards:</w:t>
      </w:r>
    </w:p>
    <w:p w14:paraId="02840FCA" w14:textId="77777777" w:rsidR="002600ED" w:rsidRPr="0003044B" w:rsidRDefault="002600ED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03044B" w14:paraId="4389531B" w14:textId="77777777" w:rsidTr="00F84C15">
        <w:tc>
          <w:tcPr>
            <w:tcW w:w="1168" w:type="dxa"/>
          </w:tcPr>
          <w:p w14:paraId="1F5E7CF2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14:paraId="06EC0B1D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14:paraId="28730EAF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14:paraId="61071D6C" w14:textId="47CFADF3" w:rsidR="00F84C15" w:rsidRPr="0003044B" w:rsidRDefault="00A34B5A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</w:t>
            </w:r>
          </w:p>
        </w:tc>
        <w:tc>
          <w:tcPr>
            <w:tcW w:w="1169" w:type="dxa"/>
          </w:tcPr>
          <w:p w14:paraId="6900ADDF" w14:textId="70D83A8D" w:rsidR="00F84C15" w:rsidRPr="0003044B" w:rsidRDefault="0036236F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="00CE38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14:paraId="5A1B2498" w14:textId="77777777" w:rsidR="00F84C15" w:rsidRPr="0003044B" w:rsidRDefault="004D75DB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3623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69" w:type="dxa"/>
          </w:tcPr>
          <w:p w14:paraId="5E57BA3A" w14:textId="77777777" w:rsidR="00F84C15" w:rsidRPr="0003044B" w:rsidRDefault="00AC76F4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893500" w:rsidRPr="000304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14:paraId="66902932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03044B" w14:paraId="08A97D58" w14:textId="77777777" w:rsidTr="00F84C15">
        <w:tc>
          <w:tcPr>
            <w:tcW w:w="1168" w:type="dxa"/>
          </w:tcPr>
          <w:p w14:paraId="06461AE3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4A823567" w14:textId="6C6D9A7B" w:rsidR="00F84C15" w:rsidRPr="0003044B" w:rsidRDefault="00A34B5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0047A071" w14:textId="644EBF11" w:rsidR="00F84C15" w:rsidRPr="0003044B" w:rsidRDefault="00A34B5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14:paraId="56E2B15E" w14:textId="11C5F15F" w:rsidR="00F84C15" w:rsidRPr="0003044B" w:rsidRDefault="00A34B5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14:paraId="51BB4455" w14:textId="6154D7BE" w:rsidR="00F84C15" w:rsidRPr="0003044B" w:rsidRDefault="00A34B5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1839494C" w14:textId="77777777" w:rsidR="00F84C15" w:rsidRPr="0003044B" w:rsidRDefault="00AC76F4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14:paraId="68BDA8F8" w14:textId="23A65D45" w:rsidR="00F84C15" w:rsidRPr="0003044B" w:rsidRDefault="00A34B5A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14:paraId="4F08336B" w14:textId="1D4E8BB3" w:rsidR="00F84C15" w:rsidRPr="0003044B" w:rsidRDefault="00F84C15" w:rsidP="00F00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03044B" w14:paraId="1DD0BA80" w14:textId="77777777" w:rsidTr="00F84C15">
        <w:tc>
          <w:tcPr>
            <w:tcW w:w="1168" w:type="dxa"/>
          </w:tcPr>
          <w:p w14:paraId="693A5AE7" w14:textId="77777777"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14:paraId="7EBE4A1F" w14:textId="2C65C487" w:rsidR="00F84C15" w:rsidRPr="0003044B" w:rsidRDefault="00BB67F6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34B5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AC76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623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34B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14:paraId="652E9147" w14:textId="7DDBAAED" w:rsidR="00F84C15" w:rsidRPr="0003044B" w:rsidRDefault="00CE389C" w:rsidP="00CE38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34B5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36236F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A34B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14:paraId="4688411C" w14:textId="1873BD2A" w:rsidR="00F84C15" w:rsidRPr="0003044B" w:rsidRDefault="00A34B5A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1981-1994</w:t>
            </w:r>
          </w:p>
        </w:tc>
        <w:tc>
          <w:tcPr>
            <w:tcW w:w="1169" w:type="dxa"/>
          </w:tcPr>
          <w:p w14:paraId="7436B3B9" w14:textId="2EDD0431" w:rsidR="00F84C15" w:rsidRPr="0003044B" w:rsidRDefault="00CE389C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1169" w:type="dxa"/>
          </w:tcPr>
          <w:p w14:paraId="7199B744" w14:textId="17605329" w:rsidR="00F84C15" w:rsidRPr="0003044B" w:rsidRDefault="00AC76F4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E38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34B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14:paraId="31189DAC" w14:textId="1DB7E459" w:rsidR="00F84C15" w:rsidRPr="0003044B" w:rsidRDefault="00BB67F6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A34B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34B5A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169" w:type="dxa"/>
            <w:shd w:val="clear" w:color="auto" w:fill="000000" w:themeFill="text1"/>
          </w:tcPr>
          <w:p w14:paraId="18658D9A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616AE" w14:textId="77777777"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DCA9EE" w14:textId="77777777" w:rsidR="00D70FA2" w:rsidRPr="0003044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216FF78A" w14:textId="77777777" w:rsidR="00D70FA2" w:rsidRPr="0003044B" w:rsidRDefault="00D70FA2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bookmarkStart w:id="0" w:name="_Hlk77582079"/>
      <w:r w:rsidRPr="0003044B">
        <w:rPr>
          <w:rFonts w:ascii="Times New Roman" w:hAnsi="Times New Roman" w:cs="Times New Roman"/>
          <w:b/>
          <w:sz w:val="28"/>
          <w:szCs w:val="28"/>
        </w:rPr>
        <w:t>Hybrids:</w:t>
      </w:r>
      <w:r w:rsidR="005A1114" w:rsidRPr="0003044B">
        <w:rPr>
          <w:rFonts w:ascii="Times New Roman" w:hAnsi="Times New Roman" w:cs="Times New Roman"/>
          <w:b/>
          <w:sz w:val="28"/>
          <w:szCs w:val="28"/>
        </w:rPr>
        <w:t xml:space="preserve"> F-1</w:t>
      </w:r>
      <w:r w:rsidR="00AC76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F782825" w14:textId="77777777" w:rsidR="0077008A" w:rsidRPr="0003044B" w:rsidRDefault="0077008A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776"/>
        <w:gridCol w:w="776"/>
        <w:gridCol w:w="776"/>
        <w:gridCol w:w="899"/>
        <w:gridCol w:w="901"/>
        <w:gridCol w:w="901"/>
        <w:gridCol w:w="901"/>
        <w:gridCol w:w="901"/>
        <w:gridCol w:w="901"/>
        <w:gridCol w:w="865"/>
      </w:tblGrid>
      <w:tr w:rsidR="00D70AD5" w:rsidRPr="0003044B" w14:paraId="1AADEE10" w14:textId="77777777" w:rsidTr="00D70AD5">
        <w:trPr>
          <w:trHeight w:val="575"/>
          <w:jc w:val="center"/>
        </w:trPr>
        <w:tc>
          <w:tcPr>
            <w:tcW w:w="778" w:type="dxa"/>
          </w:tcPr>
          <w:p w14:paraId="1FA90A6E" w14:textId="1EE7D03F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2519032"/>
            <w:r>
              <w:rPr>
                <w:rFonts w:ascii="Times New Roman" w:hAnsi="Times New Roman" w:cs="Times New Roman"/>
                <w:sz w:val="24"/>
                <w:szCs w:val="24"/>
              </w:rPr>
              <w:t>Pre 1940</w:t>
            </w:r>
          </w:p>
        </w:tc>
        <w:tc>
          <w:tcPr>
            <w:tcW w:w="646" w:type="dxa"/>
          </w:tcPr>
          <w:p w14:paraId="320CAB26" w14:textId="61FCB5E7" w:rsidR="00D70AD5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1940-1949</w:t>
            </w:r>
          </w:p>
        </w:tc>
        <w:tc>
          <w:tcPr>
            <w:tcW w:w="646" w:type="dxa"/>
          </w:tcPr>
          <w:p w14:paraId="57A350B2" w14:textId="449CB302" w:rsidR="00D70AD5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646" w:type="dxa"/>
          </w:tcPr>
          <w:p w14:paraId="4DAAE02B" w14:textId="3A9970DC" w:rsidR="00D70AD5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1960-1969</w:t>
            </w:r>
          </w:p>
        </w:tc>
        <w:tc>
          <w:tcPr>
            <w:tcW w:w="951" w:type="dxa"/>
          </w:tcPr>
          <w:p w14:paraId="3301E285" w14:textId="084156C8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952" w:type="dxa"/>
          </w:tcPr>
          <w:p w14:paraId="6A5BE9DF" w14:textId="61CD8339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952" w:type="dxa"/>
          </w:tcPr>
          <w:p w14:paraId="6327FCE1" w14:textId="0EE3393B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952" w:type="dxa"/>
          </w:tcPr>
          <w:p w14:paraId="101D4106" w14:textId="673ECC52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952" w:type="dxa"/>
          </w:tcPr>
          <w:p w14:paraId="4D542B44" w14:textId="59DEDCCD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2010-2019</w:t>
            </w:r>
          </w:p>
        </w:tc>
        <w:tc>
          <w:tcPr>
            <w:tcW w:w="952" w:type="dxa"/>
          </w:tcPr>
          <w:p w14:paraId="310CB05D" w14:textId="463960DD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2020-2029</w:t>
            </w:r>
          </w:p>
        </w:tc>
        <w:tc>
          <w:tcPr>
            <w:tcW w:w="923" w:type="dxa"/>
          </w:tcPr>
          <w:p w14:paraId="4ED69F66" w14:textId="77777777" w:rsidR="00D70AD5" w:rsidRPr="0003044B" w:rsidRDefault="00D70AD5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70AD5" w:rsidRPr="0003044B" w14:paraId="60417117" w14:textId="77777777" w:rsidTr="00D70AD5">
        <w:trPr>
          <w:jc w:val="center"/>
        </w:trPr>
        <w:tc>
          <w:tcPr>
            <w:tcW w:w="778" w:type="dxa"/>
          </w:tcPr>
          <w:p w14:paraId="1D92A5C5" w14:textId="3E2CB57D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14:paraId="69319617" w14:textId="77777777" w:rsidR="00D70AD5" w:rsidRDefault="00D70AD5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14:paraId="68841AB4" w14:textId="543B4384" w:rsidR="00D70AD5" w:rsidRDefault="00D70AD5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14:paraId="0EAA781D" w14:textId="30151C76" w:rsidR="00D70AD5" w:rsidRDefault="00D70AD5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51" w:type="dxa"/>
          </w:tcPr>
          <w:p w14:paraId="1DEE34C2" w14:textId="33673234" w:rsidR="00D70AD5" w:rsidRPr="0003044B" w:rsidRDefault="00D70AD5" w:rsidP="006E14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14:paraId="566AC72C" w14:textId="57E74C19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14:paraId="5967D4E0" w14:textId="631ABC52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14:paraId="7F5E72CF" w14:textId="7F818250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14:paraId="65675C71" w14:textId="5E3A1647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14:paraId="495254F5" w14:textId="6E63FF91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14:paraId="76922925" w14:textId="052992A6" w:rsidR="00D70AD5" w:rsidRPr="0003044B" w:rsidRDefault="00D70AD5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bookmarkEnd w:id="0"/>
      <w:bookmarkEnd w:id="1"/>
    </w:tbl>
    <w:p w14:paraId="54D358DB" w14:textId="77777777" w:rsidR="00013B47" w:rsidRDefault="00013B47" w:rsidP="0001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3C19D" w14:textId="3EF75ACF" w:rsidR="00D70AD5" w:rsidRPr="0003044B" w:rsidRDefault="00013B47" w:rsidP="00013B47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 xml:space="preserve">Hybrids: </w:t>
      </w:r>
      <w:r>
        <w:rPr>
          <w:rFonts w:ascii="Times New Roman" w:hAnsi="Times New Roman" w:cs="Times New Roman"/>
          <w:b/>
          <w:sz w:val="28"/>
          <w:szCs w:val="28"/>
        </w:rPr>
        <w:t xml:space="preserve">Progeny    </w:t>
      </w:r>
    </w:p>
    <w:p w14:paraId="0CD20829" w14:textId="32638893" w:rsidR="00013B47" w:rsidRDefault="00013B47" w:rsidP="00013B4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776"/>
        <w:gridCol w:w="776"/>
        <w:gridCol w:w="776"/>
        <w:gridCol w:w="899"/>
        <w:gridCol w:w="901"/>
        <w:gridCol w:w="901"/>
        <w:gridCol w:w="901"/>
        <w:gridCol w:w="901"/>
        <w:gridCol w:w="901"/>
        <w:gridCol w:w="865"/>
      </w:tblGrid>
      <w:tr w:rsidR="00D70AD5" w:rsidRPr="0003044B" w14:paraId="33309AAD" w14:textId="77777777" w:rsidTr="00D70AD5">
        <w:trPr>
          <w:trHeight w:val="575"/>
          <w:jc w:val="center"/>
        </w:trPr>
        <w:tc>
          <w:tcPr>
            <w:tcW w:w="753" w:type="dxa"/>
          </w:tcPr>
          <w:p w14:paraId="60C3CE72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1940</w:t>
            </w:r>
          </w:p>
        </w:tc>
        <w:tc>
          <w:tcPr>
            <w:tcW w:w="776" w:type="dxa"/>
          </w:tcPr>
          <w:p w14:paraId="52D3DC68" w14:textId="77777777" w:rsidR="00D70AD5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1940-1949</w:t>
            </w:r>
          </w:p>
        </w:tc>
        <w:tc>
          <w:tcPr>
            <w:tcW w:w="776" w:type="dxa"/>
          </w:tcPr>
          <w:p w14:paraId="24BB5853" w14:textId="77777777" w:rsidR="00D70AD5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776" w:type="dxa"/>
          </w:tcPr>
          <w:p w14:paraId="42383A20" w14:textId="77777777" w:rsidR="00D70AD5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1960-1969</w:t>
            </w:r>
          </w:p>
        </w:tc>
        <w:tc>
          <w:tcPr>
            <w:tcW w:w="899" w:type="dxa"/>
          </w:tcPr>
          <w:p w14:paraId="021AAC87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  <w:tc>
          <w:tcPr>
            <w:tcW w:w="901" w:type="dxa"/>
          </w:tcPr>
          <w:p w14:paraId="545974C8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901" w:type="dxa"/>
          </w:tcPr>
          <w:p w14:paraId="06E21047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901" w:type="dxa"/>
          </w:tcPr>
          <w:p w14:paraId="29972253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901" w:type="dxa"/>
          </w:tcPr>
          <w:p w14:paraId="260C9C47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2010-2019</w:t>
            </w:r>
          </w:p>
        </w:tc>
        <w:tc>
          <w:tcPr>
            <w:tcW w:w="901" w:type="dxa"/>
          </w:tcPr>
          <w:p w14:paraId="4CD40644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2020-2029</w:t>
            </w:r>
          </w:p>
        </w:tc>
        <w:tc>
          <w:tcPr>
            <w:tcW w:w="865" w:type="dxa"/>
          </w:tcPr>
          <w:p w14:paraId="7D013A90" w14:textId="77777777" w:rsidR="00D70AD5" w:rsidRPr="0003044B" w:rsidRDefault="00D70AD5" w:rsidP="001E2E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70AD5" w:rsidRPr="0003044B" w14:paraId="6DCA2AEA" w14:textId="77777777" w:rsidTr="00D70AD5">
        <w:trPr>
          <w:trHeight w:val="359"/>
          <w:jc w:val="center"/>
        </w:trPr>
        <w:tc>
          <w:tcPr>
            <w:tcW w:w="753" w:type="dxa"/>
          </w:tcPr>
          <w:p w14:paraId="6B97068B" w14:textId="50D766CA" w:rsidR="00D70AD5" w:rsidRDefault="001C6487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1BE2FB0F" w14:textId="77777777" w:rsidR="00D70AD5" w:rsidRDefault="00D70AD5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DC62BF6" w14:textId="728F45B8" w:rsidR="00D70AD5" w:rsidRDefault="001C6487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14:paraId="66918170" w14:textId="16C5F7F7" w:rsidR="00D70AD5" w:rsidRDefault="001C6487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9" w:type="dxa"/>
          </w:tcPr>
          <w:p w14:paraId="771F964D" w14:textId="5C985CE4" w:rsidR="00D70AD5" w:rsidRDefault="001C6487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1" w:type="dxa"/>
          </w:tcPr>
          <w:p w14:paraId="11D60867" w14:textId="41FADE0B" w:rsidR="00D70AD5" w:rsidRDefault="001C6487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1" w:type="dxa"/>
          </w:tcPr>
          <w:p w14:paraId="5B0D17C8" w14:textId="35BB2E64" w:rsidR="00D70AD5" w:rsidRDefault="001C6487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1" w:type="dxa"/>
          </w:tcPr>
          <w:p w14:paraId="20562E9F" w14:textId="32DF5502" w:rsidR="00D70AD5" w:rsidRDefault="001C6487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1" w:type="dxa"/>
          </w:tcPr>
          <w:p w14:paraId="254750DF" w14:textId="268D3B50" w:rsidR="00D70AD5" w:rsidRDefault="00CC1844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01" w:type="dxa"/>
          </w:tcPr>
          <w:p w14:paraId="3BF63CF3" w14:textId="2CAB974C" w:rsidR="00D70AD5" w:rsidRDefault="00CC1844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5" w:type="dxa"/>
          </w:tcPr>
          <w:p w14:paraId="708D0A1F" w14:textId="72F0C26F" w:rsidR="00D70AD5" w:rsidRDefault="00CC1844" w:rsidP="001C6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</w:tr>
    </w:tbl>
    <w:p w14:paraId="530F250A" w14:textId="77777777" w:rsidR="00D70AD5" w:rsidRPr="0003044B" w:rsidRDefault="00D70AD5" w:rsidP="00013B4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4B82FEB" w14:textId="77777777" w:rsidR="00D70FA2" w:rsidRPr="0003044B" w:rsidRDefault="006968C8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Significant Progeny</w:t>
      </w:r>
    </w:p>
    <w:p w14:paraId="7912F933" w14:textId="77777777" w:rsidR="007A2C0C" w:rsidRPr="0003044B" w:rsidRDefault="007A2C0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8C4E96D" w14:textId="77777777" w:rsidR="007502DC" w:rsidRDefault="007502D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14:paraId="67EF0785" w14:textId="55ECCEC3" w:rsidR="00B848C7" w:rsidRPr="0003044B" w:rsidRDefault="00C0035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Phalaenopsis </w:t>
      </w:r>
      <w:r w:rsidR="007502DC">
        <w:rPr>
          <w:rFonts w:ascii="Times New Roman" w:hAnsi="Times New Roman" w:cs="Times New Roman"/>
          <w:noProof/>
          <w:sz w:val="28"/>
          <w:szCs w:val="28"/>
        </w:rPr>
        <w:t>Golden Chief</w:t>
      </w:r>
      <w:r w:rsidR="007B0A2F" w:rsidRPr="000304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7092">
        <w:rPr>
          <w:rFonts w:ascii="Times New Roman" w:hAnsi="Times New Roman" w:cs="Times New Roman"/>
          <w:noProof/>
          <w:sz w:val="28"/>
          <w:szCs w:val="28"/>
        </w:rPr>
        <w:t xml:space="preserve">  AM</w:t>
      </w:r>
      <w:r w:rsidR="00B848C7" w:rsidRPr="0003044B">
        <w:rPr>
          <w:rFonts w:ascii="Times New Roman" w:hAnsi="Times New Roman" w:cs="Times New Roman"/>
          <w:noProof/>
          <w:sz w:val="28"/>
          <w:szCs w:val="28"/>
        </w:rPr>
        <w:t>/AOS</w:t>
      </w:r>
    </w:p>
    <w:p w14:paraId="58006C08" w14:textId="77777777" w:rsidR="00B848C7" w:rsidRPr="0003044B" w:rsidRDefault="00C0035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0304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77DFEF8" wp14:editId="48932C8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943100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388" y="21423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94" cy="217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D4C45" w14:textId="4F8E8342" w:rsidR="00C0551C" w:rsidRDefault="007502D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This relatively old hybrid, registered in 1958, is the highest awarded of </w:t>
      </w:r>
      <w:r w:rsidRPr="007502DC">
        <w:rPr>
          <w:rFonts w:ascii="Times New Roman" w:hAnsi="Times New Roman" w:cs="Times New Roman"/>
          <w:i/>
          <w:iCs/>
          <w:noProof/>
          <w:sz w:val="24"/>
          <w:szCs w:val="24"/>
        </w:rPr>
        <w:t>P. mannii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offspring with 17 AOS awards</w:t>
      </w:r>
      <w:r w:rsidR="004C050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It is a F-1 cross with Phal Chieftain, a large white standard. It went on to produce 12 progeny.</w:t>
      </w:r>
    </w:p>
    <w:p w14:paraId="48F1B2B9" w14:textId="7B623939" w:rsidR="004C0505" w:rsidRDefault="004C050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023A2DA2" w14:textId="77777777" w:rsidR="004C0505" w:rsidRPr="00204422" w:rsidRDefault="004C050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1A3B2FC" w14:textId="77777777" w:rsidR="008B3C59" w:rsidRDefault="008B3C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00161EB4" w14:textId="77777777" w:rsidR="008B3C59" w:rsidRDefault="008B3C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6BA498DC" w14:textId="77777777" w:rsidR="00BA12FF" w:rsidRDefault="00BA12F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2489217A" w14:textId="77777777" w:rsidR="008B3C59" w:rsidRPr="00204422" w:rsidRDefault="008B3C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14:paraId="36C6C9C2" w14:textId="77777777" w:rsidR="007502DC" w:rsidRDefault="007502D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14:paraId="6BE33878" w14:textId="77777777" w:rsidR="007502DC" w:rsidRDefault="007502D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14:paraId="3BD601CA" w14:textId="19550C77" w:rsidR="008B3C59" w:rsidRP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 w:rsidRPr="0020442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Phalaenopsis </w:t>
      </w:r>
      <w:r w:rsidR="007502DC">
        <w:rPr>
          <w:rFonts w:ascii="Times New Roman" w:hAnsi="Times New Roman" w:cs="Times New Roman"/>
          <w:noProof/>
          <w:sz w:val="28"/>
          <w:szCs w:val="28"/>
        </w:rPr>
        <w:t>Mambo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3F1C22">
        <w:rPr>
          <w:rFonts w:ascii="Times New Roman" w:hAnsi="Times New Roman" w:cs="Times New Roman"/>
          <w:noProof/>
          <w:sz w:val="28"/>
          <w:szCs w:val="28"/>
        </w:rPr>
        <w:t>AM</w:t>
      </w:r>
      <w:r>
        <w:rPr>
          <w:rFonts w:ascii="Times New Roman" w:hAnsi="Times New Roman" w:cs="Times New Roman"/>
          <w:noProof/>
          <w:sz w:val="28"/>
          <w:szCs w:val="28"/>
        </w:rPr>
        <w:t>/AOS</w:t>
      </w:r>
    </w:p>
    <w:p w14:paraId="1C0F6C44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16B923EE" w14:textId="567EB548" w:rsidR="00945ECA" w:rsidRPr="0079572F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930445A" wp14:editId="711E2E1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92" cy="2286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DC">
        <w:rPr>
          <w:rFonts w:ascii="Times New Roman" w:hAnsi="Times New Roman" w:cs="Times New Roman"/>
          <w:noProof/>
          <w:sz w:val="24"/>
          <w:szCs w:val="24"/>
        </w:rPr>
        <w:t xml:space="preserve">This primary with </w:t>
      </w:r>
      <w:r w:rsidR="007502DC" w:rsidRPr="007502DC">
        <w:rPr>
          <w:rFonts w:ascii="Times New Roman" w:hAnsi="Times New Roman" w:cs="Times New Roman"/>
          <w:i/>
          <w:iCs/>
          <w:noProof/>
          <w:sz w:val="24"/>
          <w:szCs w:val="24"/>
        </w:rPr>
        <w:t>P. amboinensis</w:t>
      </w:r>
      <w:r w:rsidR="007502DC">
        <w:rPr>
          <w:rFonts w:ascii="Times New Roman" w:hAnsi="Times New Roman" w:cs="Times New Roman"/>
          <w:noProof/>
          <w:sz w:val="24"/>
          <w:szCs w:val="24"/>
        </w:rPr>
        <w:t xml:space="preserve"> is another older hybrid registered in 1965. It is a good breeder with 113 F-1’s and 477 total progeny in 7 generations. It has 13 AOS awards.</w:t>
      </w:r>
    </w:p>
    <w:p w14:paraId="57A40FEA" w14:textId="77777777" w:rsidR="00945ECA" w:rsidRPr="0079572F" w:rsidRDefault="00945EC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C037586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3BC076A3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619426B3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0B9D98EB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38001476" w14:textId="77777777" w:rsidR="00204422" w:rsidRDefault="0020442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14:paraId="6FC1B33E" w14:textId="77777777" w:rsidR="008B3C59" w:rsidRPr="0003044B" w:rsidRDefault="008B3C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5064AFB" w14:textId="55FD78DA" w:rsidR="00945ECA" w:rsidRDefault="00945EC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8121A09" w14:textId="697DB91D" w:rsidR="007502DC" w:rsidRDefault="007502D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17337277" w14:textId="77777777" w:rsidR="007502DC" w:rsidRPr="0003044B" w:rsidRDefault="007502D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0D7769F6" w14:textId="77777777"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3928AFB3" w14:textId="77777777"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68E93BBE" w14:textId="77777777" w:rsidR="006D20F4" w:rsidRPr="0003044B" w:rsidRDefault="006D20F4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Aldridge, Peggy. 2008</w:t>
      </w:r>
      <w:r w:rsidRPr="0003044B">
        <w:rPr>
          <w:rFonts w:ascii="Times New Roman" w:hAnsi="Times New Roman" w:cs="Times New Roman"/>
          <w:sz w:val="24"/>
          <w:szCs w:val="24"/>
        </w:rPr>
        <w:t xml:space="preserve">. </w:t>
      </w:r>
      <w:r w:rsidRPr="0003044B">
        <w:rPr>
          <w:rFonts w:ascii="Times New Roman" w:hAnsi="Times New Roman" w:cs="Times New Roman"/>
          <w:i/>
          <w:sz w:val="24"/>
          <w:szCs w:val="24"/>
        </w:rPr>
        <w:t xml:space="preserve">An Illustrated Dictionary of Orchid Genera. </w:t>
      </w:r>
      <w:r w:rsidRPr="0003044B">
        <w:rPr>
          <w:rFonts w:ascii="Times New Roman" w:hAnsi="Times New Roman" w:cs="Times New Roman"/>
          <w:sz w:val="24"/>
          <w:szCs w:val="24"/>
        </w:rPr>
        <w:t>Selby Botanical Garden Press.</w:t>
      </w:r>
    </w:p>
    <w:p w14:paraId="56A5E06F" w14:textId="77777777" w:rsidR="00E52863" w:rsidRPr="0003044B" w:rsidRDefault="006D20F4" w:rsidP="000C45F5">
      <w:pPr>
        <w:spacing w:line="240" w:lineRule="auto"/>
        <w:rPr>
          <w:rFonts w:ascii="Times New Roman" w:hAnsi="Times New Roman" w:cs="Times New Roman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5F5">
        <w:rPr>
          <w:rFonts w:ascii="Times New Roman" w:hAnsi="Times New Roman" w:cs="Times New Roman"/>
          <w:b/>
          <w:szCs w:val="24"/>
        </w:rPr>
        <w:t>Christenson, Eric A. 2001</w:t>
      </w:r>
      <w:r w:rsidR="00E52863" w:rsidRPr="0003044B">
        <w:rPr>
          <w:rFonts w:ascii="Times New Roman" w:hAnsi="Times New Roman" w:cs="Times New Roman"/>
          <w:b/>
          <w:szCs w:val="24"/>
        </w:rPr>
        <w:t xml:space="preserve">. </w:t>
      </w:r>
      <w:r w:rsidR="000C45F5" w:rsidRPr="001E7F5E">
        <w:rPr>
          <w:rFonts w:ascii="Times New Roman" w:hAnsi="Times New Roman" w:cs="Times New Roman"/>
          <w:i/>
          <w:szCs w:val="24"/>
        </w:rPr>
        <w:t xml:space="preserve">Phalaenopsis- A </w:t>
      </w:r>
      <w:proofErr w:type="spellStart"/>
      <w:r w:rsidR="000C45F5" w:rsidRPr="001E7F5E">
        <w:rPr>
          <w:rFonts w:ascii="Times New Roman" w:hAnsi="Times New Roman" w:cs="Times New Roman"/>
          <w:i/>
          <w:szCs w:val="24"/>
        </w:rPr>
        <w:t>Monograph</w:t>
      </w:r>
      <w:r w:rsidR="00E52863" w:rsidRPr="0003044B">
        <w:rPr>
          <w:rFonts w:ascii="Times New Roman" w:hAnsi="Times New Roman" w:cs="Times New Roman"/>
          <w:i/>
          <w:szCs w:val="24"/>
        </w:rPr>
        <w:t>.</w:t>
      </w:r>
      <w:r w:rsidR="00E52863" w:rsidRPr="0003044B">
        <w:rPr>
          <w:rFonts w:ascii="Times New Roman" w:hAnsi="Times New Roman" w:cs="Times New Roman"/>
          <w:szCs w:val="24"/>
        </w:rPr>
        <w:t>Timber</w:t>
      </w:r>
      <w:proofErr w:type="spellEnd"/>
      <w:r w:rsidR="00E52863" w:rsidRPr="0003044B">
        <w:rPr>
          <w:rFonts w:ascii="Times New Roman" w:hAnsi="Times New Roman" w:cs="Times New Roman"/>
          <w:szCs w:val="24"/>
        </w:rPr>
        <w:t xml:space="preserve"> Press.</w:t>
      </w:r>
    </w:p>
    <w:p w14:paraId="349FD831" w14:textId="77777777" w:rsidR="0003044B" w:rsidRDefault="006A7D1B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3044B">
        <w:rPr>
          <w:rFonts w:ascii="Times New Roman" w:hAnsi="Times New Roman" w:cs="Times New Roman"/>
          <w:vertAlign w:val="superscript"/>
        </w:rPr>
        <w:t>2</w:t>
      </w:r>
      <w:r w:rsidR="00D84358" w:rsidRPr="0003044B">
        <w:rPr>
          <w:rFonts w:ascii="Times New Roman" w:hAnsi="Times New Roman" w:cs="Times New Roman"/>
          <w:vertAlign w:val="superscript"/>
        </w:rPr>
        <w:t xml:space="preserve"> </w:t>
      </w:r>
      <w:r w:rsidR="0003044B" w:rsidRPr="0003044B">
        <w:rPr>
          <w:rFonts w:ascii="Times New Roman" w:hAnsi="Times New Roman" w:cs="Times New Roman"/>
          <w:b/>
          <w:bCs/>
          <w:szCs w:val="24"/>
        </w:rPr>
        <w:t xml:space="preserve">Cribb, CJ. 2014. </w:t>
      </w:r>
      <w:proofErr w:type="spellStart"/>
      <w:r w:rsidR="0003044B" w:rsidRPr="0003044B">
        <w:rPr>
          <w:rFonts w:ascii="Times New Roman" w:hAnsi="Times New Roman" w:cs="Times New Roman"/>
          <w:szCs w:val="24"/>
        </w:rPr>
        <w:t>Epidendroidae</w:t>
      </w:r>
      <w:proofErr w:type="spellEnd"/>
      <w:r w:rsidR="0003044B" w:rsidRPr="0003044B">
        <w:rPr>
          <w:rFonts w:ascii="Times New Roman" w:hAnsi="Times New Roman" w:cs="Times New Roman"/>
          <w:szCs w:val="24"/>
        </w:rPr>
        <w:t xml:space="preserve">. In: Pridgeon AM, Cribb PJ, Chase MW, Rasmussen F, eds.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Genera Orchidacearum,</w:t>
      </w:r>
      <w:r w:rsidR="0003044B" w:rsidRPr="0003044B">
        <w:rPr>
          <w:rFonts w:ascii="Times New Roman" w:hAnsi="Times New Roman" w:cs="Times New Roman"/>
          <w:szCs w:val="24"/>
        </w:rPr>
        <w:t xml:space="preserve">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Vol. 6</w:t>
      </w:r>
      <w:r w:rsidR="0003044B" w:rsidRPr="0003044B">
        <w:rPr>
          <w:rFonts w:ascii="Times New Roman" w:hAnsi="Times New Roman" w:cs="Times New Roman"/>
          <w:szCs w:val="24"/>
        </w:rPr>
        <w:t>. Oxford: Oxford University Press, 344-349.</w:t>
      </w:r>
    </w:p>
    <w:p w14:paraId="7335AFC8" w14:textId="77777777" w:rsidR="000C45F5" w:rsidRPr="000C45F5" w:rsidRDefault="000C45F5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DA57FA5" w14:textId="77777777" w:rsidR="006D20F4" w:rsidRPr="0003044B" w:rsidRDefault="000650C6" w:rsidP="000C45F5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Jay Pfahl's IOSPE at</w:t>
      </w:r>
      <w:r w:rsidRPr="000304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hyperlink r:id="rId9" w:history="1">
        <w:r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www.orchidspecies.com</w:t>
        </w:r>
      </w:hyperlink>
    </w:p>
    <w:p w14:paraId="011EBDAE" w14:textId="77777777" w:rsidR="000650C6" w:rsidRPr="0003044B" w:rsidRDefault="000650C6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C45F5">
        <w:rPr>
          <w:rFonts w:ascii="Times New Roman" w:hAnsi="Times New Roman" w:cs="Times New Roman"/>
          <w:sz w:val="24"/>
          <w:szCs w:val="24"/>
        </w:rPr>
        <w:t>OrchidWiz.Database X7.1</w:t>
      </w:r>
    </w:p>
    <w:p w14:paraId="135F5C82" w14:textId="77777777" w:rsidR="006D20F4" w:rsidRPr="0003044B" w:rsidRDefault="003B10B5" w:rsidP="000C45F5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http://apps.kew.org/wcsp/qsearch.do</w:t>
        </w:r>
      </w:hyperlink>
    </w:p>
    <w:p w14:paraId="4C6CA5B8" w14:textId="77777777" w:rsidR="006D20F4" w:rsidRPr="0003044B" w:rsidRDefault="006D20F4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E558D" w14:textId="0DA0A111" w:rsidR="006D20F4" w:rsidRDefault="003B10B5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https://secure.aos.org/aqplus/SearchAwards.aspx</w:t>
        </w:r>
      </w:hyperlink>
      <w:r w:rsidR="006D20F4" w:rsidRPr="00030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BD9B5" w14:textId="42BFB938" w:rsidR="006878B9" w:rsidRDefault="006878B9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8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E72E" w14:textId="77777777" w:rsidR="003B10B5" w:rsidRDefault="003B10B5" w:rsidP="00CA6711">
      <w:pPr>
        <w:spacing w:after="0" w:line="240" w:lineRule="auto"/>
      </w:pPr>
      <w:r>
        <w:separator/>
      </w:r>
    </w:p>
  </w:endnote>
  <w:endnote w:type="continuationSeparator" w:id="0">
    <w:p w14:paraId="296C3AED" w14:textId="77777777" w:rsidR="003B10B5" w:rsidRDefault="003B10B5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40E7" w14:textId="77777777" w:rsidR="003B10B5" w:rsidRDefault="003B10B5" w:rsidP="00CA6711">
      <w:pPr>
        <w:spacing w:after="0" w:line="240" w:lineRule="auto"/>
      </w:pPr>
      <w:r>
        <w:separator/>
      </w:r>
    </w:p>
  </w:footnote>
  <w:footnote w:type="continuationSeparator" w:id="0">
    <w:p w14:paraId="1BCB04EA" w14:textId="77777777" w:rsidR="003B10B5" w:rsidRDefault="003B10B5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BE18" w14:textId="440D24E4" w:rsidR="00CA6711" w:rsidRPr="00A90A5E" w:rsidRDefault="00CA6711">
    <w:pPr>
      <w:pStyle w:val="Header"/>
      <w:rPr>
        <w:rFonts w:ascii="Times New Roman" w:hAnsi="Times New Roman" w:cs="Times New Roman"/>
      </w:rPr>
    </w:pPr>
    <w:r w:rsidRPr="00A90A5E">
      <w:rPr>
        <w:rFonts w:ascii="Times New Roman" w:hAnsi="Times New Roman" w:cs="Times New Roman"/>
      </w:rPr>
      <w:t>James Diffily</w:t>
    </w:r>
    <w:r w:rsidRPr="00A90A5E">
      <w:rPr>
        <w:rFonts w:ascii="Times New Roman" w:hAnsi="Times New Roman" w:cs="Times New Roman"/>
      </w:rPr>
      <w:ptab w:relativeTo="margin" w:alignment="center" w:leader="none"/>
    </w:r>
    <w:r w:rsidR="006968C8">
      <w:rPr>
        <w:rFonts w:ascii="Times New Roman" w:hAnsi="Times New Roman" w:cs="Times New Roman"/>
      </w:rPr>
      <w:t>Species Report</w:t>
    </w:r>
    <w:r w:rsidRPr="00A90A5E">
      <w:rPr>
        <w:rFonts w:ascii="Times New Roman" w:hAnsi="Times New Roman" w:cs="Times New Roman"/>
      </w:rPr>
      <w:ptab w:relativeTo="margin" w:alignment="right" w:leader="none"/>
    </w:r>
    <w:r w:rsidR="00A0687B">
      <w:rPr>
        <w:rFonts w:ascii="Times New Roman" w:hAnsi="Times New Roman" w:cs="Times New Roman"/>
      </w:rPr>
      <w:t>October</w:t>
    </w:r>
    <w:r w:rsidR="00E27D29">
      <w:rPr>
        <w:rFonts w:ascii="Times New Roman" w:hAnsi="Times New Roman" w:cs="Times New Roman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0"/>
    <w:rsid w:val="00000DF5"/>
    <w:rsid w:val="00013B47"/>
    <w:rsid w:val="00013DDD"/>
    <w:rsid w:val="000209E4"/>
    <w:rsid w:val="000258AA"/>
    <w:rsid w:val="0003044B"/>
    <w:rsid w:val="000377EA"/>
    <w:rsid w:val="00037984"/>
    <w:rsid w:val="000454C5"/>
    <w:rsid w:val="00060DDA"/>
    <w:rsid w:val="0006467A"/>
    <w:rsid w:val="000650C6"/>
    <w:rsid w:val="000A1556"/>
    <w:rsid w:val="000A6A2A"/>
    <w:rsid w:val="000A788D"/>
    <w:rsid w:val="000B2E79"/>
    <w:rsid w:val="000C45F5"/>
    <w:rsid w:val="000D4911"/>
    <w:rsid w:val="000F2393"/>
    <w:rsid w:val="000F4060"/>
    <w:rsid w:val="0010005A"/>
    <w:rsid w:val="00111D3B"/>
    <w:rsid w:val="00185A67"/>
    <w:rsid w:val="00192157"/>
    <w:rsid w:val="001A6258"/>
    <w:rsid w:val="001B1EA4"/>
    <w:rsid w:val="001C6487"/>
    <w:rsid w:val="001D211E"/>
    <w:rsid w:val="001D6738"/>
    <w:rsid w:val="001E7F5E"/>
    <w:rsid w:val="001F079E"/>
    <w:rsid w:val="00204422"/>
    <w:rsid w:val="00205CE8"/>
    <w:rsid w:val="0020663C"/>
    <w:rsid w:val="0022703B"/>
    <w:rsid w:val="00241C66"/>
    <w:rsid w:val="002432FD"/>
    <w:rsid w:val="002510AC"/>
    <w:rsid w:val="002600ED"/>
    <w:rsid w:val="00260B87"/>
    <w:rsid w:val="00264078"/>
    <w:rsid w:val="002640EB"/>
    <w:rsid w:val="0027076B"/>
    <w:rsid w:val="0027674D"/>
    <w:rsid w:val="002972FB"/>
    <w:rsid w:val="002A3BE0"/>
    <w:rsid w:val="002B2AC7"/>
    <w:rsid w:val="002E1161"/>
    <w:rsid w:val="002E179C"/>
    <w:rsid w:val="002F1167"/>
    <w:rsid w:val="00304076"/>
    <w:rsid w:val="00310FB3"/>
    <w:rsid w:val="00311B9D"/>
    <w:rsid w:val="00330877"/>
    <w:rsid w:val="00333196"/>
    <w:rsid w:val="0036236F"/>
    <w:rsid w:val="003631D4"/>
    <w:rsid w:val="00370DB9"/>
    <w:rsid w:val="00370EF5"/>
    <w:rsid w:val="00374A60"/>
    <w:rsid w:val="00377566"/>
    <w:rsid w:val="003A2454"/>
    <w:rsid w:val="003A7E0A"/>
    <w:rsid w:val="003B10B5"/>
    <w:rsid w:val="003C45E3"/>
    <w:rsid w:val="003E19EE"/>
    <w:rsid w:val="003E7AA3"/>
    <w:rsid w:val="003F1C22"/>
    <w:rsid w:val="0040162F"/>
    <w:rsid w:val="0040208A"/>
    <w:rsid w:val="00405C0C"/>
    <w:rsid w:val="004466B1"/>
    <w:rsid w:val="00450572"/>
    <w:rsid w:val="00472778"/>
    <w:rsid w:val="00476016"/>
    <w:rsid w:val="00485361"/>
    <w:rsid w:val="004B22F3"/>
    <w:rsid w:val="004B3C9E"/>
    <w:rsid w:val="004C0505"/>
    <w:rsid w:val="004C4592"/>
    <w:rsid w:val="004D75DB"/>
    <w:rsid w:val="004F00BD"/>
    <w:rsid w:val="005101DC"/>
    <w:rsid w:val="00512581"/>
    <w:rsid w:val="005133CF"/>
    <w:rsid w:val="00517EC3"/>
    <w:rsid w:val="00531CB1"/>
    <w:rsid w:val="00532AD3"/>
    <w:rsid w:val="00533B5C"/>
    <w:rsid w:val="005364AC"/>
    <w:rsid w:val="005422FE"/>
    <w:rsid w:val="00542D3D"/>
    <w:rsid w:val="00591E44"/>
    <w:rsid w:val="00594A98"/>
    <w:rsid w:val="005A0422"/>
    <w:rsid w:val="005A1114"/>
    <w:rsid w:val="005C102F"/>
    <w:rsid w:val="005D7D1F"/>
    <w:rsid w:val="005E561A"/>
    <w:rsid w:val="00615EDB"/>
    <w:rsid w:val="00653AF0"/>
    <w:rsid w:val="00660ADC"/>
    <w:rsid w:val="006802A4"/>
    <w:rsid w:val="00682C11"/>
    <w:rsid w:val="00683D53"/>
    <w:rsid w:val="006878B9"/>
    <w:rsid w:val="006968C8"/>
    <w:rsid w:val="006A51F9"/>
    <w:rsid w:val="006A7D1B"/>
    <w:rsid w:val="006C1E42"/>
    <w:rsid w:val="006C2290"/>
    <w:rsid w:val="006D1B6B"/>
    <w:rsid w:val="006D20F4"/>
    <w:rsid w:val="006D7075"/>
    <w:rsid w:val="006E14EB"/>
    <w:rsid w:val="006E4B64"/>
    <w:rsid w:val="007016EA"/>
    <w:rsid w:val="00727362"/>
    <w:rsid w:val="007341A3"/>
    <w:rsid w:val="00734F79"/>
    <w:rsid w:val="007359FB"/>
    <w:rsid w:val="007502DC"/>
    <w:rsid w:val="00753C03"/>
    <w:rsid w:val="0076260F"/>
    <w:rsid w:val="007652EE"/>
    <w:rsid w:val="00767C2C"/>
    <w:rsid w:val="0077008A"/>
    <w:rsid w:val="0077561A"/>
    <w:rsid w:val="00783C66"/>
    <w:rsid w:val="00791E2D"/>
    <w:rsid w:val="00792E97"/>
    <w:rsid w:val="0079572F"/>
    <w:rsid w:val="0079678B"/>
    <w:rsid w:val="007A2C0C"/>
    <w:rsid w:val="007A2FB8"/>
    <w:rsid w:val="007B0A2F"/>
    <w:rsid w:val="007B601A"/>
    <w:rsid w:val="007C3211"/>
    <w:rsid w:val="007D0BB8"/>
    <w:rsid w:val="007D6A30"/>
    <w:rsid w:val="007E0F13"/>
    <w:rsid w:val="007F2716"/>
    <w:rsid w:val="0081437C"/>
    <w:rsid w:val="00814955"/>
    <w:rsid w:val="00850353"/>
    <w:rsid w:val="00852F24"/>
    <w:rsid w:val="00856B29"/>
    <w:rsid w:val="00861C84"/>
    <w:rsid w:val="00866CEC"/>
    <w:rsid w:val="008741AC"/>
    <w:rsid w:val="00893500"/>
    <w:rsid w:val="008935A9"/>
    <w:rsid w:val="00897427"/>
    <w:rsid w:val="008A22D8"/>
    <w:rsid w:val="008B3C59"/>
    <w:rsid w:val="008B5999"/>
    <w:rsid w:val="008C7480"/>
    <w:rsid w:val="008D0BB8"/>
    <w:rsid w:val="008D7BF2"/>
    <w:rsid w:val="008F411A"/>
    <w:rsid w:val="00912179"/>
    <w:rsid w:val="0092280C"/>
    <w:rsid w:val="00936657"/>
    <w:rsid w:val="00937E7E"/>
    <w:rsid w:val="00940AE1"/>
    <w:rsid w:val="00945ECA"/>
    <w:rsid w:val="00953DC6"/>
    <w:rsid w:val="00956E30"/>
    <w:rsid w:val="009620C0"/>
    <w:rsid w:val="00962C6E"/>
    <w:rsid w:val="0096625F"/>
    <w:rsid w:val="00970D61"/>
    <w:rsid w:val="009A51E9"/>
    <w:rsid w:val="009B4708"/>
    <w:rsid w:val="009B5B09"/>
    <w:rsid w:val="009E09E8"/>
    <w:rsid w:val="009E13CD"/>
    <w:rsid w:val="009E7092"/>
    <w:rsid w:val="009F6707"/>
    <w:rsid w:val="00A0687B"/>
    <w:rsid w:val="00A1580E"/>
    <w:rsid w:val="00A34B5A"/>
    <w:rsid w:val="00A45A18"/>
    <w:rsid w:val="00A5027B"/>
    <w:rsid w:val="00A57347"/>
    <w:rsid w:val="00A772E1"/>
    <w:rsid w:val="00A83302"/>
    <w:rsid w:val="00A90A5E"/>
    <w:rsid w:val="00A95059"/>
    <w:rsid w:val="00AA1AEE"/>
    <w:rsid w:val="00AB23FE"/>
    <w:rsid w:val="00AC655F"/>
    <w:rsid w:val="00AC76F4"/>
    <w:rsid w:val="00AD34FA"/>
    <w:rsid w:val="00AD4138"/>
    <w:rsid w:val="00AF3518"/>
    <w:rsid w:val="00AF67DB"/>
    <w:rsid w:val="00AF72DF"/>
    <w:rsid w:val="00B15019"/>
    <w:rsid w:val="00B17B11"/>
    <w:rsid w:val="00B25EE0"/>
    <w:rsid w:val="00B304E4"/>
    <w:rsid w:val="00B52152"/>
    <w:rsid w:val="00B5438F"/>
    <w:rsid w:val="00B6212E"/>
    <w:rsid w:val="00B62839"/>
    <w:rsid w:val="00B70F9F"/>
    <w:rsid w:val="00B848C7"/>
    <w:rsid w:val="00B91A50"/>
    <w:rsid w:val="00B95E9E"/>
    <w:rsid w:val="00BA12FF"/>
    <w:rsid w:val="00BB67F6"/>
    <w:rsid w:val="00BC7607"/>
    <w:rsid w:val="00BE5F43"/>
    <w:rsid w:val="00BF114C"/>
    <w:rsid w:val="00C0035C"/>
    <w:rsid w:val="00C0551C"/>
    <w:rsid w:val="00C07DCC"/>
    <w:rsid w:val="00C10E0C"/>
    <w:rsid w:val="00C2064D"/>
    <w:rsid w:val="00C32DFD"/>
    <w:rsid w:val="00C46467"/>
    <w:rsid w:val="00C51D05"/>
    <w:rsid w:val="00C64203"/>
    <w:rsid w:val="00C66C4C"/>
    <w:rsid w:val="00C80205"/>
    <w:rsid w:val="00C8107C"/>
    <w:rsid w:val="00C93AC2"/>
    <w:rsid w:val="00CA441E"/>
    <w:rsid w:val="00CA6711"/>
    <w:rsid w:val="00CC1844"/>
    <w:rsid w:val="00CC469A"/>
    <w:rsid w:val="00CD1D62"/>
    <w:rsid w:val="00CE389C"/>
    <w:rsid w:val="00D00737"/>
    <w:rsid w:val="00D02BA4"/>
    <w:rsid w:val="00D03A00"/>
    <w:rsid w:val="00D06BEB"/>
    <w:rsid w:val="00D23443"/>
    <w:rsid w:val="00D237FC"/>
    <w:rsid w:val="00D34D02"/>
    <w:rsid w:val="00D4667E"/>
    <w:rsid w:val="00D47A53"/>
    <w:rsid w:val="00D526C0"/>
    <w:rsid w:val="00D609C8"/>
    <w:rsid w:val="00D65BEE"/>
    <w:rsid w:val="00D70AD5"/>
    <w:rsid w:val="00D70FA2"/>
    <w:rsid w:val="00D77B67"/>
    <w:rsid w:val="00D81A42"/>
    <w:rsid w:val="00D84358"/>
    <w:rsid w:val="00DB36F7"/>
    <w:rsid w:val="00DC56DE"/>
    <w:rsid w:val="00DE465C"/>
    <w:rsid w:val="00DE545F"/>
    <w:rsid w:val="00DF5670"/>
    <w:rsid w:val="00E00695"/>
    <w:rsid w:val="00E01650"/>
    <w:rsid w:val="00E0640C"/>
    <w:rsid w:val="00E144A6"/>
    <w:rsid w:val="00E27D29"/>
    <w:rsid w:val="00E52863"/>
    <w:rsid w:val="00E53AFD"/>
    <w:rsid w:val="00E6158A"/>
    <w:rsid w:val="00E616B1"/>
    <w:rsid w:val="00E7221C"/>
    <w:rsid w:val="00E83797"/>
    <w:rsid w:val="00EA6743"/>
    <w:rsid w:val="00EB0EE8"/>
    <w:rsid w:val="00EB4860"/>
    <w:rsid w:val="00EF40D4"/>
    <w:rsid w:val="00F00EEF"/>
    <w:rsid w:val="00F14384"/>
    <w:rsid w:val="00F23019"/>
    <w:rsid w:val="00F2405B"/>
    <w:rsid w:val="00F25639"/>
    <w:rsid w:val="00F2705B"/>
    <w:rsid w:val="00F32B21"/>
    <w:rsid w:val="00F36258"/>
    <w:rsid w:val="00F37478"/>
    <w:rsid w:val="00F410B8"/>
    <w:rsid w:val="00F51249"/>
    <w:rsid w:val="00F5198C"/>
    <w:rsid w:val="00F651B6"/>
    <w:rsid w:val="00F81D1F"/>
    <w:rsid w:val="00F82750"/>
    <w:rsid w:val="00F84C15"/>
    <w:rsid w:val="00FB0196"/>
    <w:rsid w:val="00FC0185"/>
    <w:rsid w:val="00FD4239"/>
    <w:rsid w:val="00FD6EAC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CE6E"/>
  <w15:docId w15:val="{375B08AA-0BA8-49B4-9579-DC5979A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ecure.aos.org/aqplus/SearchAwards.aspx%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pps.kew.org/wcsp/qsearch.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rchidspec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James</cp:lastModifiedBy>
  <cp:revision>11</cp:revision>
  <cp:lastPrinted>2016-12-04T16:30:00Z</cp:lastPrinted>
  <dcterms:created xsi:type="dcterms:W3CDTF">2021-09-14T18:08:00Z</dcterms:created>
  <dcterms:modified xsi:type="dcterms:W3CDTF">2021-09-14T19:02:00Z</dcterms:modified>
</cp:coreProperties>
</file>