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1C7C0" w14:textId="27D579E7" w:rsidR="000833C1" w:rsidRDefault="00F1370E"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F1370E">
        <w:rPr>
          <w:rFonts w:ascii="Arial" w:hAnsi="Arial" w:cs="Arial"/>
        </w:rPr>
        <w:t xml:space="preserve">Bifrenaria </w:t>
      </w:r>
      <w:r w:rsidRPr="00D95614">
        <w:rPr>
          <w:rFonts w:ascii="Arial" w:hAnsi="Arial" w:cs="Arial"/>
          <w:i/>
          <w:iCs/>
        </w:rPr>
        <w:t>aureofulva</w:t>
      </w:r>
      <w:r w:rsidRPr="00F1370E">
        <w:rPr>
          <w:rFonts w:ascii="Arial" w:hAnsi="Arial" w:cs="Arial"/>
        </w:rPr>
        <w:t xml:space="preserve"> (Hook.) Lindl.</w:t>
      </w:r>
      <w:r w:rsidR="00A11609">
        <w:rPr>
          <w:rFonts w:ascii="Arial" w:hAnsi="Arial" w:cs="Arial"/>
        </w:rPr>
        <w:t>, 1843</w:t>
      </w:r>
    </w:p>
    <w:p w14:paraId="2C5325A3" w14:textId="15DE37BD" w:rsidR="00D95614" w:rsidRDefault="00D95614"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D95614">
        <w:rPr>
          <w:rFonts w:ascii="Arial" w:hAnsi="Arial" w:cs="Arial"/>
        </w:rPr>
        <w:t>(syn. Bifrenaria aureo-fulva)</w:t>
      </w:r>
    </w:p>
    <w:p w14:paraId="28D89D31" w14:textId="77777777"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219D716" w14:textId="77777777" w:rsidR="00D95614" w:rsidRDefault="00D95614"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97F1E4" w14:textId="08507313" w:rsidR="000833C1" w:rsidRDefault="00A1160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11609">
        <w:rPr>
          <w:rFonts w:ascii="Arial" w:hAnsi="Arial" w:cs="Arial"/>
          <w:b/>
          <w:bCs/>
          <w:u w:val="single"/>
        </w:rPr>
        <w:t>Common Name</w:t>
      </w:r>
      <w:r w:rsidR="000833C1" w:rsidRPr="00A11609">
        <w:rPr>
          <w:rFonts w:ascii="Arial" w:hAnsi="Arial" w:cs="Arial"/>
          <w:b/>
          <w:bCs/>
          <w:u w:val="single"/>
        </w:rPr>
        <w:t>:</w:t>
      </w:r>
      <w:r w:rsidR="000833C1" w:rsidRPr="000833C1">
        <w:rPr>
          <w:rFonts w:ascii="Arial" w:hAnsi="Arial" w:cs="Arial"/>
        </w:rPr>
        <w:t xml:space="preserve">  </w:t>
      </w:r>
      <w:r w:rsidR="002A08B6">
        <w:rPr>
          <w:rFonts w:ascii="Arial" w:hAnsi="Arial" w:cs="Arial"/>
        </w:rPr>
        <w:t xml:space="preserve">The </w:t>
      </w:r>
      <w:r w:rsidR="00D95614">
        <w:rPr>
          <w:rFonts w:ascii="Arial" w:hAnsi="Arial" w:cs="Arial"/>
        </w:rPr>
        <w:t>Golden-Red-Yellow</w:t>
      </w:r>
      <w:r w:rsidR="002A08B6">
        <w:rPr>
          <w:rFonts w:ascii="Arial" w:hAnsi="Arial" w:cs="Arial"/>
        </w:rPr>
        <w:t xml:space="preserve"> Bifrenaria</w:t>
      </w:r>
    </w:p>
    <w:p w14:paraId="24617F61" w14:textId="77777777" w:rsidR="000833C1" w:rsidRPr="00337398"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8A8C7F1" w14:textId="77777777" w:rsidR="00337398" w:rsidRPr="00337398"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30F0D0" w14:textId="03C82594" w:rsidR="005F7C3D" w:rsidRDefault="00F1370E"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345D6D9B" wp14:editId="5801C079">
            <wp:extent cx="6105525" cy="2471872"/>
            <wp:effectExtent l="0" t="0" r="0" b="5080"/>
            <wp:docPr id="6821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9059" cy="2481400"/>
                    </a:xfrm>
                    <a:prstGeom prst="rect">
                      <a:avLst/>
                    </a:prstGeom>
                    <a:noFill/>
                  </pic:spPr>
                </pic:pic>
              </a:graphicData>
            </a:graphic>
          </wp:inline>
        </w:drawing>
      </w:r>
    </w:p>
    <w:p w14:paraId="2FD449E5" w14:textId="77777777" w:rsidR="00EA12E9" w:rsidRDefault="00EA12E9"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282752"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1524F24" w14:textId="00A77EDE" w:rsidR="00A11609" w:rsidRP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A11609">
        <w:rPr>
          <w:rFonts w:ascii="Arial" w:hAnsi="Arial" w:cs="Arial"/>
          <w:b/>
          <w:bCs/>
          <w:u w:val="single"/>
        </w:rPr>
        <w:t>Native</w:t>
      </w:r>
    </w:p>
    <w:p w14:paraId="7BE2FA5F"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DEECC47" w14:textId="791A32FE" w:rsidR="00A11609" w:rsidRDefault="00F1370E"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1370E">
        <w:rPr>
          <w:rFonts w:ascii="Arial" w:hAnsi="Arial" w:cs="Arial"/>
        </w:rPr>
        <w:t>Brazil Northeast, Brazil South, Brazil Southeast</w:t>
      </w:r>
    </w:p>
    <w:p w14:paraId="08310B8C" w14:textId="77777777" w:rsidR="00F1370E" w:rsidRDefault="00F1370E"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BFC4D1" w14:textId="77777777" w:rsidR="00A11609" w:rsidRP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A11609">
        <w:rPr>
          <w:rFonts w:ascii="Arial" w:hAnsi="Arial" w:cs="Arial"/>
          <w:b/>
          <w:bCs/>
          <w:u w:val="single"/>
        </w:rPr>
        <w:t>Homotypic Synonyms</w:t>
      </w:r>
    </w:p>
    <w:p w14:paraId="11A3D58A"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DAD29E7" w14:textId="3659D418" w:rsidR="00F1370E" w:rsidRPr="00F1370E"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1370E">
        <w:rPr>
          <w:rFonts w:ascii="Arial" w:hAnsi="Arial" w:cs="Arial"/>
        </w:rPr>
        <w:t>Adipe</w:t>
      </w:r>
      <w:r w:rsidRPr="00D95614">
        <w:rPr>
          <w:rFonts w:ascii="Arial" w:hAnsi="Arial" w:cs="Arial"/>
          <w:i/>
          <w:iCs/>
        </w:rPr>
        <w:t xml:space="preserve"> aureofulva</w:t>
      </w:r>
      <w:r w:rsidRPr="00F1370E">
        <w:rPr>
          <w:rFonts w:ascii="Arial" w:hAnsi="Arial" w:cs="Arial"/>
        </w:rPr>
        <w:t xml:space="preserve"> (Hook.) M.</w:t>
      </w:r>
      <w:r w:rsidR="00910461">
        <w:rPr>
          <w:rFonts w:ascii="Arial" w:hAnsi="Arial" w:cs="Arial"/>
        </w:rPr>
        <w:t xml:space="preserve"> </w:t>
      </w:r>
      <w:r w:rsidRPr="00F1370E">
        <w:rPr>
          <w:rFonts w:ascii="Arial" w:hAnsi="Arial" w:cs="Arial"/>
        </w:rPr>
        <w:t>Wolff in Orchidee (Hamburg) 41: 36 (1990)</w:t>
      </w:r>
    </w:p>
    <w:p w14:paraId="50E08E7A" w14:textId="77777777" w:rsidR="00F1370E"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AEE6A41" w14:textId="2E781C40" w:rsidR="00A11609" w:rsidRPr="00A11609"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1370E">
        <w:rPr>
          <w:rFonts w:ascii="Arial" w:hAnsi="Arial" w:cs="Arial"/>
        </w:rPr>
        <w:t>Maxillaria aureofulva Hook. in Bot. Mag. 65: t. 3629 (1838)</w:t>
      </w:r>
      <w:r w:rsidR="00A11609" w:rsidRPr="00A11609">
        <w:rPr>
          <w:rFonts w:ascii="Arial" w:hAnsi="Arial" w:cs="Arial"/>
        </w:rPr>
        <w:t>.</w:t>
      </w:r>
    </w:p>
    <w:p w14:paraId="6D83245B"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76F21C4" w14:textId="7FEE215F" w:rsidR="00A11609" w:rsidRP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A11609">
        <w:rPr>
          <w:rFonts w:ascii="Arial" w:hAnsi="Arial" w:cs="Arial"/>
          <w:b/>
          <w:bCs/>
          <w:u w:val="single"/>
        </w:rPr>
        <w:t>Heterotypic Synonyms</w:t>
      </w:r>
    </w:p>
    <w:p w14:paraId="22DE543C" w14:textId="77777777" w:rsidR="00A11609" w:rsidRDefault="00A11609" w:rsidP="00A116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98B88C8" w14:textId="77777777" w:rsidR="00F1370E" w:rsidRPr="00F1370E"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1370E">
        <w:rPr>
          <w:rFonts w:ascii="Arial" w:hAnsi="Arial" w:cs="Arial"/>
        </w:rPr>
        <w:t xml:space="preserve">Bifrenaria </w:t>
      </w:r>
      <w:r w:rsidRPr="00D95614">
        <w:rPr>
          <w:rFonts w:ascii="Arial" w:hAnsi="Arial" w:cs="Arial"/>
          <w:i/>
          <w:iCs/>
        </w:rPr>
        <w:t xml:space="preserve">secunda </w:t>
      </w:r>
      <w:r w:rsidRPr="00F1370E">
        <w:rPr>
          <w:rFonts w:ascii="Arial" w:hAnsi="Arial" w:cs="Arial"/>
        </w:rPr>
        <w:t>(Hoehne) Pabst in Orquídea (Rio de Janeiro) 29: 165 (1967)</w:t>
      </w:r>
    </w:p>
    <w:p w14:paraId="59631675" w14:textId="77777777" w:rsidR="00F1370E"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90B39E6" w14:textId="6762EE76" w:rsidR="00F1370E" w:rsidRPr="00F1370E"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1370E">
        <w:rPr>
          <w:rFonts w:ascii="Arial" w:hAnsi="Arial" w:cs="Arial"/>
        </w:rPr>
        <w:t>Maxillaria</w:t>
      </w:r>
      <w:r w:rsidRPr="00D95614">
        <w:rPr>
          <w:rFonts w:ascii="Arial" w:hAnsi="Arial" w:cs="Arial"/>
          <w:i/>
          <w:iCs/>
        </w:rPr>
        <w:t xml:space="preserve"> stenopetala</w:t>
      </w:r>
      <w:r w:rsidRPr="00F1370E">
        <w:rPr>
          <w:rFonts w:ascii="Arial" w:hAnsi="Arial" w:cs="Arial"/>
        </w:rPr>
        <w:t xml:space="preserve"> Knowles &amp; Westc. in Fl. Cab. 2: 112 (1838)</w:t>
      </w:r>
    </w:p>
    <w:p w14:paraId="39D64954" w14:textId="77777777" w:rsidR="00F1370E"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4DD7D54" w14:textId="49616E6E" w:rsidR="00A11609" w:rsidRDefault="00F1370E" w:rsidP="00F137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1370E">
        <w:rPr>
          <w:rFonts w:ascii="Arial" w:hAnsi="Arial" w:cs="Arial"/>
        </w:rPr>
        <w:t xml:space="preserve">Stenocoryne </w:t>
      </w:r>
      <w:r w:rsidRPr="00D95614">
        <w:rPr>
          <w:rFonts w:ascii="Arial" w:hAnsi="Arial" w:cs="Arial"/>
          <w:i/>
          <w:iCs/>
        </w:rPr>
        <w:t>secunda</w:t>
      </w:r>
      <w:r w:rsidRPr="00F1370E">
        <w:rPr>
          <w:rFonts w:ascii="Arial" w:hAnsi="Arial" w:cs="Arial"/>
        </w:rPr>
        <w:t xml:space="preserve"> Hoehne in Arq. Bot. Estado São Paulo, n.s., f.m., 2: 13 (1944)</w:t>
      </w:r>
    </w:p>
    <w:p w14:paraId="5C06CC67" w14:textId="77777777" w:rsidR="00A11609" w:rsidRDefault="00A11609" w:rsidP="00571C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C20D8BD" w14:textId="15D7A033" w:rsidR="00451032" w:rsidRPr="00451032" w:rsidRDefault="00571C54"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A08B6">
        <w:rPr>
          <w:rFonts w:ascii="Arial" w:hAnsi="Arial" w:cs="Arial"/>
        </w:rPr>
        <w:t xml:space="preserve">OrchidWiz noted </w:t>
      </w:r>
      <w:r w:rsidR="00451032" w:rsidRPr="00451032">
        <w:rPr>
          <w:rFonts w:ascii="Arial" w:hAnsi="Arial" w:cs="Arial"/>
        </w:rPr>
        <w:t>O</w:t>
      </w:r>
      <w:r w:rsidR="00451032">
        <w:rPr>
          <w:rFonts w:ascii="Arial" w:hAnsi="Arial" w:cs="Arial"/>
        </w:rPr>
        <w:t>rigin</w:t>
      </w:r>
      <w:r w:rsidR="00451032" w:rsidRPr="00451032">
        <w:rPr>
          <w:rFonts w:ascii="Arial" w:hAnsi="Arial" w:cs="Arial"/>
        </w:rPr>
        <w:t>/H</w:t>
      </w:r>
      <w:r w:rsidR="00451032">
        <w:rPr>
          <w:rFonts w:ascii="Arial" w:hAnsi="Arial" w:cs="Arial"/>
        </w:rPr>
        <w:t>abitat</w:t>
      </w:r>
      <w:r w:rsidR="00451032" w:rsidRPr="00451032">
        <w:rPr>
          <w:rFonts w:ascii="Arial" w:hAnsi="Arial" w:cs="Arial"/>
        </w:rPr>
        <w:t xml:space="preserve">: Brazil. Plants grow in the mountains of southern Brazil in the states of Minas Gerais, Espírito Santo, Rio de Janeiro, São Paulo, Paraná, Santa Catarina, and Rio Grande do Sul. We have been unable to locate specific habitat elevations, but Pabst and Dungs (1975) indicate that Bifrenaria aureo-fulva grows in intermediate conditions. These conditions are also recommended by the McQueens </w:t>
      </w:r>
      <w:r w:rsidR="00451032" w:rsidRPr="00451032">
        <w:rPr>
          <w:rFonts w:ascii="Arial" w:hAnsi="Arial" w:cs="Arial"/>
        </w:rPr>
        <w:lastRenderedPageBreak/>
        <w:t>(1993). Therefore, we have estimated habitat elevation to coincide with the reported growing temperatures, but the temperature extremes resulting from this estimation should be used cautiously until more exact information is available. The other elements in the climate table reflect seasonal weather patterns in the habitat.</w:t>
      </w:r>
    </w:p>
    <w:p w14:paraId="03279D4F" w14:textId="77777777"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1CAA097" w14:textId="0F120FE8"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P</w:t>
      </w:r>
      <w:r>
        <w:rPr>
          <w:rFonts w:ascii="Arial" w:hAnsi="Arial" w:cs="Arial"/>
        </w:rPr>
        <w:t>lant Size and Type</w:t>
      </w:r>
      <w:r w:rsidRPr="00451032">
        <w:rPr>
          <w:rFonts w:ascii="Arial" w:hAnsi="Arial" w:cs="Arial"/>
        </w:rPr>
        <w:t>: A 28 in. (71 cm) sympodial epiphyte.</w:t>
      </w:r>
    </w:p>
    <w:p w14:paraId="757F7FDF" w14:textId="77777777"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75975A3" w14:textId="7962D964"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P</w:t>
      </w:r>
      <w:r>
        <w:rPr>
          <w:rFonts w:ascii="Arial" w:hAnsi="Arial" w:cs="Arial"/>
        </w:rPr>
        <w:t>seudobulb</w:t>
      </w:r>
      <w:r w:rsidRPr="00451032">
        <w:rPr>
          <w:rFonts w:ascii="Arial" w:hAnsi="Arial" w:cs="Arial"/>
        </w:rPr>
        <w:t>: 1.0-1.5 in. (2.5-3.8 cm) long. The clustered, strongly four-angled pseudobulbs are dark yellow-green or brown-green.</w:t>
      </w:r>
    </w:p>
    <w:p w14:paraId="7E02D025" w14:textId="77777777"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F804CA" w14:textId="1AADBD46"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L</w:t>
      </w:r>
      <w:r>
        <w:rPr>
          <w:rFonts w:ascii="Arial" w:hAnsi="Arial" w:cs="Arial"/>
        </w:rPr>
        <w:t>eaves</w:t>
      </w:r>
      <w:r w:rsidRPr="00451032">
        <w:rPr>
          <w:rFonts w:ascii="Arial" w:hAnsi="Arial" w:cs="Arial"/>
        </w:rPr>
        <w:t>: Up to 28 in. (71 cm) long. This includes the petiole at the base, which may be up to 18 in. (46 cm) long, and the leaf blade, which is up to 10 in. (25 cm) long. Each growth carries a single rather leathery, oblong-lanceolate leaf with a prominent midvein and a sharply pointed tip at the top of each pseudobulb.</w:t>
      </w:r>
    </w:p>
    <w:p w14:paraId="61DCA235" w14:textId="77777777"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847A983" w14:textId="590D9368"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I</w:t>
      </w:r>
      <w:r>
        <w:rPr>
          <w:rFonts w:ascii="Arial" w:hAnsi="Arial" w:cs="Arial"/>
        </w:rPr>
        <w:t>nflorescence</w:t>
      </w:r>
      <w:r w:rsidRPr="00451032">
        <w:rPr>
          <w:rFonts w:ascii="Arial" w:hAnsi="Arial" w:cs="Arial"/>
        </w:rPr>
        <w:t>: 5-12 in. (12-30 cm) long. The slender, usually erect but sometimes pendulous inflorescence emerges from the base of the pseudobulb.</w:t>
      </w:r>
    </w:p>
    <w:p w14:paraId="203EF3C3" w14:textId="77777777"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A1A4C45" w14:textId="33A18C29" w:rsid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F</w:t>
      </w:r>
      <w:r>
        <w:rPr>
          <w:rFonts w:ascii="Arial" w:hAnsi="Arial" w:cs="Arial"/>
        </w:rPr>
        <w:t>lowers</w:t>
      </w:r>
      <w:r w:rsidRPr="00451032">
        <w:rPr>
          <w:rFonts w:ascii="Arial" w:hAnsi="Arial" w:cs="Arial"/>
        </w:rPr>
        <w:t>: 3-15. The nodding blossoms, which may not open fully, are carried on the upper third of each inflorescence. The orange or brownish yellow flowers, have a green tinge on the outside, may be marked with a dull red flush lines. Blossoms are up to 1 in. (2.5 cm) long by approximately 0.8 in. (2 cm) across the reflexed tips of the sepals and petals. The elongated sepals and petals, which are up to 0.6 in. (1.6 cm) long and taper to sharply pointed tips, point forward at the base then spread outward toward the tip. Lateral sepals join together at the base to form a spur. The lip is about 0.6 in. (1.6 cm) long, which is shaped like an elongated diamond with a narrow base, has rounded lateral lobes and a sharply pointed, triangular midlobe. The callus at the base of the lip is 3-lobed at its apex.</w:t>
      </w:r>
    </w:p>
    <w:p w14:paraId="251DE068" w14:textId="77777777" w:rsidR="00451032" w:rsidRP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FFD6F74" w14:textId="0ACBCD9E" w:rsidR="00A11609"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479BD6E0" wp14:editId="6C3FD401">
            <wp:extent cx="1752600" cy="2628900"/>
            <wp:effectExtent l="0" t="0" r="0" b="0"/>
            <wp:docPr id="1762681721"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81721" name="Picture 1" descr="A close-up of a plant&#10;&#10;Description automatically generated"/>
                    <pic:cNvPicPr/>
                  </pic:nvPicPr>
                  <pic:blipFill>
                    <a:blip r:embed="rId9"/>
                    <a:stretch>
                      <a:fillRect/>
                    </a:stretch>
                  </pic:blipFill>
                  <pic:spPr>
                    <a:xfrm>
                      <a:off x="0" y="0"/>
                      <a:ext cx="1755251" cy="2632876"/>
                    </a:xfrm>
                    <a:prstGeom prst="rect">
                      <a:avLst/>
                    </a:prstGeom>
                  </pic:spPr>
                </pic:pic>
              </a:graphicData>
            </a:graphic>
          </wp:inline>
        </w:drawing>
      </w:r>
    </w:p>
    <w:p w14:paraId="671C3BB0" w14:textId="446D1904" w:rsidR="00A11609"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Bifrenaria </w:t>
      </w:r>
      <w:bookmarkStart w:id="0" w:name="_Hlk145791898"/>
      <w:r w:rsidRPr="00D95614">
        <w:rPr>
          <w:rFonts w:ascii="Arial" w:hAnsi="Arial" w:cs="Arial"/>
          <w:i/>
          <w:iCs/>
        </w:rPr>
        <w:t>aureofulva</w:t>
      </w:r>
      <w:bookmarkEnd w:id="0"/>
      <w:r w:rsidRPr="00D95614">
        <w:rPr>
          <w:rFonts w:ascii="Arial" w:hAnsi="Arial" w:cs="Arial"/>
          <w:i/>
          <w:iCs/>
        </w:rPr>
        <w:t xml:space="preserve"> </w:t>
      </w:r>
      <w:r>
        <w:rPr>
          <w:rFonts w:ascii="Arial" w:hAnsi="Arial" w:cs="Arial"/>
        </w:rPr>
        <w:t>‘Skokie Bells’ HCC/AOS, 70 points, 1970</w:t>
      </w:r>
    </w:p>
    <w:p w14:paraId="5E29C523" w14:textId="072C49F7" w:rsidR="00451032" w:rsidRPr="00A11609"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OWZ Libs</w:t>
      </w:r>
    </w:p>
    <w:p w14:paraId="5E1F1369" w14:textId="4B36EA35" w:rsidR="00C200FE"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lastRenderedPageBreak/>
        <w:drawing>
          <wp:inline distT="0" distB="0" distL="0" distR="0" wp14:anchorId="14C3D7D0" wp14:editId="0C7AD3FE">
            <wp:extent cx="4695825" cy="3133058"/>
            <wp:effectExtent l="0" t="0" r="0" b="0"/>
            <wp:docPr id="56311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13139" name=""/>
                    <pic:cNvPicPr/>
                  </pic:nvPicPr>
                  <pic:blipFill>
                    <a:blip r:embed="rId10"/>
                    <a:stretch>
                      <a:fillRect/>
                    </a:stretch>
                  </pic:blipFill>
                  <pic:spPr>
                    <a:xfrm>
                      <a:off x="0" y="0"/>
                      <a:ext cx="4702291" cy="3137372"/>
                    </a:xfrm>
                    <a:prstGeom prst="rect">
                      <a:avLst/>
                    </a:prstGeom>
                  </pic:spPr>
                </pic:pic>
              </a:graphicData>
            </a:graphic>
          </wp:inline>
        </w:drawing>
      </w:r>
    </w:p>
    <w:p w14:paraId="6BB205B5" w14:textId="77ADEDD2"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Bifrenaria </w:t>
      </w:r>
      <w:r w:rsidRPr="00D95614">
        <w:rPr>
          <w:rFonts w:ascii="Arial" w:hAnsi="Arial" w:cs="Arial"/>
          <w:i/>
          <w:iCs/>
        </w:rPr>
        <w:t xml:space="preserve">aureofulva </w:t>
      </w:r>
    </w:p>
    <w:p w14:paraId="623B0452" w14:textId="0D2FCC3B"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Roland Amsler</w:t>
      </w:r>
    </w:p>
    <w:p w14:paraId="056D85D3" w14:textId="77777777" w:rsidR="00D95614" w:rsidRDefault="00D95614"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C996AB3" w14:textId="77777777"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161757E" w14:textId="127E0EA5"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0904842C" wp14:editId="04274650">
            <wp:extent cx="5010150" cy="3883402"/>
            <wp:effectExtent l="0" t="0" r="0" b="3175"/>
            <wp:docPr id="595753422" name="Picture 1" descr="Close-up of an orang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53422" name="Picture 1" descr="Close-up of an orange flower&#10;&#10;Description automatically generated"/>
                    <pic:cNvPicPr/>
                  </pic:nvPicPr>
                  <pic:blipFill>
                    <a:blip r:embed="rId11"/>
                    <a:stretch>
                      <a:fillRect/>
                    </a:stretch>
                  </pic:blipFill>
                  <pic:spPr>
                    <a:xfrm>
                      <a:off x="0" y="0"/>
                      <a:ext cx="5013732" cy="3886178"/>
                    </a:xfrm>
                    <a:prstGeom prst="rect">
                      <a:avLst/>
                    </a:prstGeom>
                  </pic:spPr>
                </pic:pic>
              </a:graphicData>
            </a:graphic>
          </wp:inline>
        </w:drawing>
      </w:r>
    </w:p>
    <w:p w14:paraId="58AF07FD" w14:textId="6F2E5068"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Bifrenaria </w:t>
      </w:r>
      <w:r w:rsidRPr="00D95614">
        <w:rPr>
          <w:rFonts w:ascii="Arial" w:hAnsi="Arial" w:cs="Arial"/>
          <w:i/>
          <w:iCs/>
        </w:rPr>
        <w:t>aureo-fulva</w:t>
      </w:r>
    </w:p>
    <w:p w14:paraId="5E564F58" w14:textId="51E8CB22"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Ed Cott</w:t>
      </w:r>
    </w:p>
    <w:p w14:paraId="40789073" w14:textId="77777777"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F7F152B" w14:textId="71342653"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78AF3E20" wp14:editId="559E1892">
            <wp:extent cx="5105400" cy="3566144"/>
            <wp:effectExtent l="0" t="0" r="0" b="0"/>
            <wp:docPr id="141641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12389" name=""/>
                    <pic:cNvPicPr/>
                  </pic:nvPicPr>
                  <pic:blipFill>
                    <a:blip r:embed="rId12"/>
                    <a:stretch>
                      <a:fillRect/>
                    </a:stretch>
                  </pic:blipFill>
                  <pic:spPr>
                    <a:xfrm>
                      <a:off x="0" y="0"/>
                      <a:ext cx="5113345" cy="3571694"/>
                    </a:xfrm>
                    <a:prstGeom prst="rect">
                      <a:avLst/>
                    </a:prstGeom>
                  </pic:spPr>
                </pic:pic>
              </a:graphicData>
            </a:graphic>
          </wp:inline>
        </w:drawing>
      </w:r>
    </w:p>
    <w:p w14:paraId="191B224D" w14:textId="19C9E714"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Bifrenaria </w:t>
      </w:r>
      <w:r w:rsidRPr="00D95614">
        <w:rPr>
          <w:rFonts w:ascii="Arial" w:hAnsi="Arial" w:cs="Arial"/>
          <w:i/>
          <w:iCs/>
        </w:rPr>
        <w:t>aureo</w:t>
      </w:r>
      <w:r w:rsidR="00D95614" w:rsidRPr="00D95614">
        <w:rPr>
          <w:rFonts w:ascii="Arial" w:hAnsi="Arial" w:cs="Arial"/>
          <w:i/>
          <w:iCs/>
        </w:rPr>
        <w:t>-fulva</w:t>
      </w:r>
    </w:p>
    <w:p w14:paraId="6D7F8680" w14:textId="489E2F31" w:rsidR="00D95614" w:rsidRDefault="00D95614"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Lynn O’Shaughnessy</w:t>
      </w:r>
    </w:p>
    <w:p w14:paraId="2CB1B6CA" w14:textId="77777777"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3BE56B5" w14:textId="77777777" w:rsidR="00451032" w:rsidRDefault="00451032"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A3AB95F" w14:textId="74375204" w:rsidR="00C200FE" w:rsidRDefault="005E4C7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b/>
          <w:bCs/>
          <w:u w:val="single"/>
        </w:rPr>
        <w:t xml:space="preserve">AOS </w:t>
      </w:r>
      <w:r w:rsidR="00C200FE" w:rsidRPr="00C200FE">
        <w:rPr>
          <w:rFonts w:ascii="Arial" w:hAnsi="Arial" w:cs="Arial"/>
          <w:b/>
          <w:bCs/>
          <w:u w:val="single"/>
        </w:rPr>
        <w:t>Awards</w:t>
      </w:r>
    </w:p>
    <w:p w14:paraId="2C6AED61" w14:textId="1D217975" w:rsidR="00C200FE" w:rsidRDefault="00C200F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E93DD68" w14:textId="0C49AD17" w:rsidR="005E4C7D" w:rsidRDefault="00571C54" w:rsidP="005E4C7D">
      <w:pPr>
        <w:pStyle w:val="Body"/>
        <w:rPr>
          <w:rFonts w:ascii="Arial" w:hAnsi="Arial" w:cs="Arial"/>
          <w:sz w:val="24"/>
          <w:szCs w:val="24"/>
        </w:rPr>
      </w:pPr>
      <w:r>
        <w:rPr>
          <w:rFonts w:ascii="Arial" w:hAnsi="Arial" w:cs="Arial"/>
          <w:sz w:val="24"/>
          <w:szCs w:val="24"/>
        </w:rPr>
        <w:t xml:space="preserve">Bifrenaria </w:t>
      </w:r>
      <w:r w:rsidRPr="00571C54">
        <w:rPr>
          <w:rFonts w:ascii="Arial" w:hAnsi="Arial" w:cs="Arial"/>
          <w:i/>
          <w:iCs/>
          <w:sz w:val="24"/>
          <w:szCs w:val="24"/>
        </w:rPr>
        <w:t>inodora</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571C54" w14:paraId="3289ADF0" w14:textId="77777777" w:rsidTr="00571C54">
        <w:tc>
          <w:tcPr>
            <w:tcW w:w="1164" w:type="dxa"/>
          </w:tcPr>
          <w:p w14:paraId="19A1C06A"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6D5F6FFB"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FCC</w:t>
            </w:r>
          </w:p>
        </w:tc>
        <w:tc>
          <w:tcPr>
            <w:tcW w:w="758" w:type="dxa"/>
          </w:tcPr>
          <w:p w14:paraId="0157E959" w14:textId="5733A4BE"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249FA3DF"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HCC</w:t>
            </w:r>
          </w:p>
        </w:tc>
        <w:tc>
          <w:tcPr>
            <w:tcW w:w="643" w:type="dxa"/>
          </w:tcPr>
          <w:p w14:paraId="1B5E5FC2"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AQ</w:t>
            </w:r>
          </w:p>
        </w:tc>
        <w:tc>
          <w:tcPr>
            <w:tcW w:w="835" w:type="dxa"/>
          </w:tcPr>
          <w:p w14:paraId="0E8C47DF"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6ADDC30"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CCM</w:t>
            </w:r>
          </w:p>
        </w:tc>
        <w:tc>
          <w:tcPr>
            <w:tcW w:w="831" w:type="dxa"/>
          </w:tcPr>
          <w:p w14:paraId="46E4F90A"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CCE</w:t>
            </w:r>
          </w:p>
        </w:tc>
        <w:tc>
          <w:tcPr>
            <w:tcW w:w="850" w:type="dxa"/>
          </w:tcPr>
          <w:p w14:paraId="5932BD76"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CHM</w:t>
            </w:r>
          </w:p>
        </w:tc>
        <w:tc>
          <w:tcPr>
            <w:tcW w:w="769" w:type="dxa"/>
          </w:tcPr>
          <w:p w14:paraId="0A9B46FD" w14:textId="78CAF2EB"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CB</w:t>
            </w:r>
            <w:r w:rsidR="00451032">
              <w:rPr>
                <w:rFonts w:ascii="Arial" w:hAnsi="Arial" w:cs="Arial"/>
                <w:sz w:val="24"/>
                <w:szCs w:val="24"/>
              </w:rPr>
              <w:t>R</w:t>
            </w:r>
          </w:p>
        </w:tc>
        <w:tc>
          <w:tcPr>
            <w:tcW w:w="990" w:type="dxa"/>
          </w:tcPr>
          <w:p w14:paraId="01FF19B4" w14:textId="77777777"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TOTAL</w:t>
            </w:r>
          </w:p>
        </w:tc>
      </w:tr>
      <w:tr w:rsidR="00571C54" w14:paraId="3D206345" w14:textId="77777777" w:rsidTr="00571C54">
        <w:trPr>
          <w:trHeight w:val="314"/>
        </w:trPr>
        <w:tc>
          <w:tcPr>
            <w:tcW w:w="1164" w:type="dxa"/>
          </w:tcPr>
          <w:p w14:paraId="66E295B9"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1D96BA44" w14:textId="174985D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3A74974C" w14:textId="238B1BA3" w:rsidR="00571C54" w:rsidRDefault="0045103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7" w:type="dxa"/>
          </w:tcPr>
          <w:p w14:paraId="25DD1B39" w14:textId="6320FFE1" w:rsidR="00571C54" w:rsidRDefault="0045103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643" w:type="dxa"/>
          </w:tcPr>
          <w:p w14:paraId="2E6A20AA" w14:textId="32890FEB"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3873F41F" w14:textId="4F348329"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53692559" w14:textId="5BD7E8B9" w:rsidR="00571C54" w:rsidRDefault="0045103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1" w:type="dxa"/>
          </w:tcPr>
          <w:p w14:paraId="03CAAA3E" w14:textId="093E73B3"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10F1B703" w14:textId="1AAD1E8D" w:rsidR="00571C54" w:rsidRDefault="0045103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2406A131" w14:textId="02983130" w:rsidR="00571C54" w:rsidRDefault="00571C54" w:rsidP="00591E0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2D62A9FF" w14:textId="1CD60ED8"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r w:rsidR="00571C54" w14:paraId="7E8CEB37" w14:textId="77777777" w:rsidTr="00571C54">
        <w:tc>
          <w:tcPr>
            <w:tcW w:w="1164" w:type="dxa"/>
          </w:tcPr>
          <w:p w14:paraId="1E8D1A6C"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4DB4B5B6" w14:textId="15893148"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28ABDEA3" w14:textId="20C1DAAA"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7" w:type="dxa"/>
          </w:tcPr>
          <w:p w14:paraId="76BF7D61"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F213BA0" w14:textId="02B78AD8" w:rsidR="00451032" w:rsidRDefault="0045103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1970</w:t>
            </w:r>
          </w:p>
        </w:tc>
        <w:tc>
          <w:tcPr>
            <w:tcW w:w="643" w:type="dxa"/>
          </w:tcPr>
          <w:p w14:paraId="68F95219"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3FCF755B"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14D5E998" w14:textId="4F120B7C"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1" w:type="dxa"/>
          </w:tcPr>
          <w:p w14:paraId="6D6F3545" w14:textId="2160BD43"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5E5B9C17" w14:textId="4BAAE77F" w:rsidR="00571C54" w:rsidRDefault="00571C54" w:rsidP="00571C5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69" w:type="dxa"/>
          </w:tcPr>
          <w:p w14:paraId="5BB0DEDB" w14:textId="77777777" w:rsidR="00451032" w:rsidRDefault="0045103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7B7FFA4A" w14:textId="7C9E3053" w:rsidR="00451032" w:rsidRDefault="0045103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2002</w:t>
            </w:r>
          </w:p>
        </w:tc>
        <w:tc>
          <w:tcPr>
            <w:tcW w:w="990" w:type="dxa"/>
            <w:shd w:val="clear" w:color="auto" w:fill="D9D9D9" w:themeFill="background1" w:themeFillShade="D9"/>
          </w:tcPr>
          <w:p w14:paraId="77B1E436" w14:textId="77777777" w:rsidR="00571C54" w:rsidRDefault="00571C5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7F4D2BBD" w14:textId="77777777" w:rsidR="005E4C7D" w:rsidRDefault="005E4C7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C283899" w14:textId="77777777" w:rsidR="00D95614" w:rsidRDefault="00D95614"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283D4177" w14:textId="3B1101D2" w:rsidR="00C200FE" w:rsidRDefault="00C200F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b/>
          <w:bCs/>
          <w:u w:val="single"/>
        </w:rPr>
        <w:t>Hybrids</w:t>
      </w:r>
    </w:p>
    <w:p w14:paraId="227A58F8" w14:textId="77777777" w:rsidR="00D95614" w:rsidRDefault="00D95614" w:rsidP="00591E03">
      <w:pPr>
        <w:pStyle w:val="Body"/>
        <w:rPr>
          <w:rFonts w:ascii="Arial" w:hAnsi="Arial" w:cs="Arial"/>
          <w:sz w:val="24"/>
          <w:szCs w:val="24"/>
        </w:rPr>
      </w:pPr>
      <w:r>
        <w:rPr>
          <w:rFonts w:ascii="Arial" w:hAnsi="Arial" w:cs="Arial"/>
          <w:sz w:val="24"/>
          <w:szCs w:val="24"/>
        </w:rPr>
        <w:t>There are</w:t>
      </w:r>
      <w:r w:rsidR="00591E03">
        <w:rPr>
          <w:rFonts w:ascii="Arial" w:hAnsi="Arial" w:cs="Arial"/>
          <w:sz w:val="24"/>
          <w:szCs w:val="24"/>
        </w:rPr>
        <w:t xml:space="preserve"> </w:t>
      </w:r>
      <w:r w:rsidR="002A08B6">
        <w:rPr>
          <w:rFonts w:ascii="Arial" w:hAnsi="Arial" w:cs="Arial"/>
          <w:sz w:val="24"/>
          <w:szCs w:val="24"/>
        </w:rPr>
        <w:t>five Bifrenaria</w:t>
      </w:r>
      <w:r w:rsidR="002A08B6" w:rsidRPr="002A08B6">
        <w:rPr>
          <w:rFonts w:ascii="Arial" w:hAnsi="Arial" w:cs="Arial"/>
          <w:i/>
          <w:iCs/>
          <w:sz w:val="24"/>
          <w:szCs w:val="24"/>
        </w:rPr>
        <w:t xml:space="preserve"> </w:t>
      </w:r>
      <w:r w:rsidRPr="00D95614">
        <w:rPr>
          <w:rFonts w:ascii="Arial" w:hAnsi="Arial" w:cs="Arial"/>
          <w:i/>
          <w:iCs/>
          <w:sz w:val="24"/>
          <w:szCs w:val="24"/>
        </w:rPr>
        <w:t xml:space="preserve">aureofulva </w:t>
      </w:r>
      <w:r w:rsidRPr="00D95614">
        <w:rPr>
          <w:rFonts w:ascii="Arial" w:hAnsi="Arial" w:cs="Arial"/>
          <w:sz w:val="24"/>
          <w:szCs w:val="24"/>
        </w:rPr>
        <w:t>FI generation offspring.</w:t>
      </w:r>
      <w:r>
        <w:rPr>
          <w:rFonts w:ascii="Arial" w:hAnsi="Arial" w:cs="Arial"/>
          <w:i/>
          <w:iCs/>
          <w:sz w:val="24"/>
          <w:szCs w:val="24"/>
        </w:rPr>
        <w:t xml:space="preserve">  All have been </w:t>
      </w:r>
      <w:r w:rsidR="00591E03">
        <w:rPr>
          <w:rFonts w:ascii="Arial" w:hAnsi="Arial" w:cs="Arial"/>
          <w:sz w:val="24"/>
          <w:szCs w:val="24"/>
        </w:rPr>
        <w:t>registered</w:t>
      </w:r>
      <w:r>
        <w:rPr>
          <w:rFonts w:ascii="Arial" w:hAnsi="Arial" w:cs="Arial"/>
          <w:sz w:val="24"/>
          <w:szCs w:val="24"/>
        </w:rPr>
        <w:t xml:space="preserve"> </w:t>
      </w:r>
      <w:r w:rsidR="00591E03">
        <w:rPr>
          <w:rFonts w:ascii="Arial" w:hAnsi="Arial" w:cs="Arial"/>
          <w:sz w:val="24"/>
          <w:szCs w:val="24"/>
        </w:rPr>
        <w:t xml:space="preserve"> </w:t>
      </w:r>
      <w:r>
        <w:rPr>
          <w:rFonts w:ascii="Arial" w:hAnsi="Arial" w:cs="Arial"/>
          <w:sz w:val="24"/>
          <w:szCs w:val="24"/>
        </w:rPr>
        <w:t xml:space="preserve">since </w:t>
      </w:r>
      <w:r w:rsidR="002A08B6">
        <w:rPr>
          <w:rFonts w:ascii="Arial" w:hAnsi="Arial" w:cs="Arial"/>
          <w:sz w:val="24"/>
          <w:szCs w:val="24"/>
        </w:rPr>
        <w:t>198</w:t>
      </w:r>
      <w:r>
        <w:rPr>
          <w:rFonts w:ascii="Arial" w:hAnsi="Arial" w:cs="Arial"/>
          <w:sz w:val="24"/>
          <w:szCs w:val="24"/>
        </w:rPr>
        <w:t>7</w:t>
      </w:r>
      <w:r w:rsidR="00591E03">
        <w:rPr>
          <w:rFonts w:ascii="Arial" w:hAnsi="Arial" w:cs="Arial"/>
          <w:sz w:val="24"/>
          <w:szCs w:val="24"/>
        </w:rPr>
        <w:t>.</w:t>
      </w:r>
      <w:r w:rsidR="002A08B6">
        <w:rPr>
          <w:rFonts w:ascii="Arial" w:hAnsi="Arial" w:cs="Arial"/>
          <w:sz w:val="24"/>
          <w:szCs w:val="24"/>
        </w:rPr>
        <w:t xml:space="preserve">  </w:t>
      </w:r>
      <w:r>
        <w:rPr>
          <w:rFonts w:ascii="Arial" w:hAnsi="Arial" w:cs="Arial"/>
          <w:sz w:val="24"/>
          <w:szCs w:val="24"/>
        </w:rPr>
        <w:t xml:space="preserve">Only one of </w:t>
      </w:r>
      <w:r w:rsidR="002A08B6">
        <w:rPr>
          <w:rFonts w:ascii="Arial" w:hAnsi="Arial" w:cs="Arial"/>
          <w:sz w:val="24"/>
          <w:szCs w:val="24"/>
        </w:rPr>
        <w:t>the Bifrenaria</w:t>
      </w:r>
      <w:r w:rsidR="002A08B6" w:rsidRPr="003C7030">
        <w:rPr>
          <w:rFonts w:ascii="Arial" w:hAnsi="Arial" w:cs="Arial"/>
          <w:i/>
          <w:iCs/>
          <w:sz w:val="24"/>
          <w:szCs w:val="24"/>
        </w:rPr>
        <w:t xml:space="preserve"> </w:t>
      </w:r>
      <w:r w:rsidRPr="00D95614">
        <w:rPr>
          <w:rFonts w:ascii="Arial" w:hAnsi="Arial" w:cs="Arial"/>
          <w:i/>
          <w:iCs/>
          <w:sz w:val="24"/>
          <w:szCs w:val="24"/>
        </w:rPr>
        <w:t>aureofulva</w:t>
      </w:r>
      <w:r w:rsidR="002A08B6">
        <w:rPr>
          <w:rFonts w:ascii="Arial" w:hAnsi="Arial" w:cs="Arial"/>
          <w:sz w:val="24"/>
          <w:szCs w:val="24"/>
        </w:rPr>
        <w:t xml:space="preserve"> crosses ha</w:t>
      </w:r>
      <w:r>
        <w:rPr>
          <w:rFonts w:ascii="Arial" w:hAnsi="Arial" w:cs="Arial"/>
          <w:sz w:val="24"/>
          <w:szCs w:val="24"/>
        </w:rPr>
        <w:t>s</w:t>
      </w:r>
      <w:r w:rsidR="002A08B6">
        <w:rPr>
          <w:rFonts w:ascii="Arial" w:hAnsi="Arial" w:cs="Arial"/>
          <w:sz w:val="24"/>
          <w:szCs w:val="24"/>
        </w:rPr>
        <w:t xml:space="preserve"> </w:t>
      </w:r>
      <w:r>
        <w:rPr>
          <w:rFonts w:ascii="Arial" w:hAnsi="Arial" w:cs="Arial"/>
          <w:sz w:val="24"/>
          <w:szCs w:val="24"/>
        </w:rPr>
        <w:t>received an AOS award</w:t>
      </w:r>
      <w:r w:rsidR="00591E03">
        <w:rPr>
          <w:rFonts w:ascii="Arial" w:hAnsi="Arial" w:cs="Arial"/>
          <w:sz w:val="24"/>
          <w:szCs w:val="24"/>
        </w:rPr>
        <w:t>.</w:t>
      </w:r>
      <w:r>
        <w:rPr>
          <w:rFonts w:ascii="Arial" w:hAnsi="Arial" w:cs="Arial"/>
          <w:sz w:val="24"/>
          <w:szCs w:val="24"/>
        </w:rPr>
        <w:t xml:space="preserve">  </w:t>
      </w:r>
      <w:r w:rsidRPr="00D95614">
        <w:rPr>
          <w:rFonts w:ascii="Arial" w:hAnsi="Arial" w:cs="Arial"/>
          <w:sz w:val="24"/>
          <w:szCs w:val="24"/>
        </w:rPr>
        <w:t xml:space="preserve">Lycastenaria </w:t>
      </w:r>
      <w:r>
        <w:rPr>
          <w:rFonts w:ascii="Arial" w:hAnsi="Arial" w:cs="Arial"/>
          <w:sz w:val="24"/>
          <w:szCs w:val="24"/>
        </w:rPr>
        <w:t>T</w:t>
      </w:r>
      <w:r w:rsidRPr="00D95614">
        <w:rPr>
          <w:rFonts w:ascii="Arial" w:hAnsi="Arial" w:cs="Arial"/>
          <w:sz w:val="24"/>
          <w:szCs w:val="24"/>
        </w:rPr>
        <w:t>ropical Honey</w:t>
      </w:r>
      <w:r>
        <w:rPr>
          <w:rFonts w:ascii="Arial" w:hAnsi="Arial" w:cs="Arial"/>
          <w:sz w:val="24"/>
          <w:szCs w:val="24"/>
        </w:rPr>
        <w:t xml:space="preserve">, an intergeneric hybrid with parents (Bifrenaria </w:t>
      </w:r>
      <w:r w:rsidRPr="00E500A6">
        <w:rPr>
          <w:rFonts w:ascii="Arial" w:hAnsi="Arial" w:cs="Arial"/>
          <w:i/>
          <w:iCs/>
          <w:sz w:val="24"/>
          <w:szCs w:val="24"/>
        </w:rPr>
        <w:t>aureofulva</w:t>
      </w:r>
      <w:r>
        <w:rPr>
          <w:rFonts w:ascii="Arial" w:hAnsi="Arial" w:cs="Arial"/>
          <w:sz w:val="24"/>
          <w:szCs w:val="24"/>
        </w:rPr>
        <w:t xml:space="preserve"> x </w:t>
      </w:r>
      <w:r w:rsidRPr="00D95614">
        <w:rPr>
          <w:rFonts w:ascii="Arial" w:hAnsi="Arial" w:cs="Arial"/>
          <w:sz w:val="24"/>
          <w:szCs w:val="24"/>
        </w:rPr>
        <w:t>Lycaste Jason</w:t>
      </w:r>
      <w:r>
        <w:rPr>
          <w:rFonts w:ascii="Arial" w:hAnsi="Arial" w:cs="Arial"/>
          <w:sz w:val="24"/>
          <w:szCs w:val="24"/>
        </w:rPr>
        <w:t xml:space="preserve">).  Lycastenaria Tropical Honey received an AD/AOS in 2004.  Lycastenaria Tropical Honey has no AOS awards and no registered offspring.  </w:t>
      </w:r>
      <w:r w:rsidR="002A08B6">
        <w:rPr>
          <w:rFonts w:ascii="Arial" w:hAnsi="Arial" w:cs="Arial"/>
          <w:sz w:val="24"/>
          <w:szCs w:val="24"/>
        </w:rPr>
        <w:t xml:space="preserve"> </w:t>
      </w:r>
    </w:p>
    <w:p w14:paraId="706B4FD4" w14:textId="77777777" w:rsidR="00D95614" w:rsidRDefault="00D95614" w:rsidP="00591E03">
      <w:pPr>
        <w:pStyle w:val="Body"/>
        <w:rPr>
          <w:rFonts w:ascii="Arial" w:hAnsi="Arial" w:cs="Arial"/>
          <w:sz w:val="24"/>
          <w:szCs w:val="24"/>
        </w:rPr>
      </w:pPr>
    </w:p>
    <w:p w14:paraId="7C3ACFC3" w14:textId="67A659F4" w:rsidR="003C7030" w:rsidRDefault="00D95614" w:rsidP="00591E03">
      <w:pPr>
        <w:pStyle w:val="Body"/>
        <w:rPr>
          <w:rFonts w:ascii="Arial" w:hAnsi="Arial" w:cs="Arial"/>
          <w:sz w:val="24"/>
          <w:szCs w:val="24"/>
        </w:rPr>
      </w:pPr>
      <w:r>
        <w:rPr>
          <w:rFonts w:ascii="Arial" w:hAnsi="Arial" w:cs="Arial"/>
          <w:sz w:val="24"/>
          <w:szCs w:val="24"/>
        </w:rPr>
        <w:t xml:space="preserve">Of the Bifrenaria </w:t>
      </w:r>
      <w:r w:rsidRPr="00182B90">
        <w:rPr>
          <w:rFonts w:ascii="Arial" w:hAnsi="Arial" w:cs="Arial"/>
          <w:i/>
          <w:iCs/>
          <w:sz w:val="24"/>
          <w:szCs w:val="24"/>
        </w:rPr>
        <w:t>aureofulva</w:t>
      </w:r>
      <w:r>
        <w:rPr>
          <w:rFonts w:ascii="Arial" w:hAnsi="Arial" w:cs="Arial"/>
          <w:sz w:val="24"/>
          <w:szCs w:val="24"/>
        </w:rPr>
        <w:t xml:space="preserve"> crosses, only one</w:t>
      </w:r>
      <w:r w:rsidR="00182B90">
        <w:rPr>
          <w:rFonts w:ascii="Arial" w:hAnsi="Arial" w:cs="Arial"/>
          <w:sz w:val="24"/>
          <w:szCs w:val="24"/>
        </w:rPr>
        <w:t xml:space="preserve">, </w:t>
      </w:r>
      <w:r w:rsidR="00182B90" w:rsidRPr="00182B90">
        <w:rPr>
          <w:rFonts w:ascii="Arial" w:hAnsi="Arial" w:cs="Arial"/>
          <w:sz w:val="24"/>
          <w:szCs w:val="24"/>
        </w:rPr>
        <w:t>Bifrenaria Haslemere</w:t>
      </w:r>
      <w:r>
        <w:rPr>
          <w:rFonts w:ascii="Arial" w:hAnsi="Arial" w:cs="Arial"/>
          <w:sz w:val="24"/>
          <w:szCs w:val="24"/>
        </w:rPr>
        <w:t xml:space="preserve"> has a registered offspring, </w:t>
      </w:r>
      <w:r w:rsidR="00182B90">
        <w:rPr>
          <w:rFonts w:ascii="Arial" w:hAnsi="Arial" w:cs="Arial"/>
          <w:sz w:val="24"/>
          <w:szCs w:val="24"/>
        </w:rPr>
        <w:t xml:space="preserve">which is </w:t>
      </w:r>
      <w:r>
        <w:rPr>
          <w:rFonts w:ascii="Arial" w:hAnsi="Arial" w:cs="Arial"/>
          <w:sz w:val="24"/>
          <w:szCs w:val="24"/>
        </w:rPr>
        <w:t xml:space="preserve">Bifrenaria </w:t>
      </w:r>
      <w:r w:rsidR="00182B90">
        <w:rPr>
          <w:rFonts w:ascii="Arial" w:hAnsi="Arial" w:cs="Arial"/>
          <w:sz w:val="24"/>
          <w:szCs w:val="24"/>
        </w:rPr>
        <w:t>(</w:t>
      </w:r>
      <w:r w:rsidR="00182B90" w:rsidRPr="00182B90">
        <w:rPr>
          <w:rFonts w:ascii="Arial" w:hAnsi="Arial" w:cs="Arial"/>
          <w:i/>
          <w:iCs/>
          <w:sz w:val="24"/>
          <w:szCs w:val="24"/>
        </w:rPr>
        <w:t>calcarata</w:t>
      </w:r>
      <w:r w:rsidR="00182B90">
        <w:rPr>
          <w:rFonts w:ascii="Arial" w:hAnsi="Arial" w:cs="Arial"/>
          <w:sz w:val="24"/>
          <w:szCs w:val="24"/>
        </w:rPr>
        <w:t xml:space="preserve"> x </w:t>
      </w:r>
      <w:r w:rsidR="00182B90" w:rsidRPr="00182B90">
        <w:rPr>
          <w:rFonts w:ascii="Arial" w:hAnsi="Arial" w:cs="Arial"/>
          <w:i/>
          <w:iCs/>
          <w:sz w:val="24"/>
          <w:szCs w:val="24"/>
        </w:rPr>
        <w:t>auerofulva</w:t>
      </w:r>
      <w:r w:rsidR="00182B90">
        <w:rPr>
          <w:rFonts w:ascii="Arial" w:hAnsi="Arial" w:cs="Arial"/>
          <w:sz w:val="24"/>
          <w:szCs w:val="24"/>
        </w:rPr>
        <w:t xml:space="preserve">).  </w:t>
      </w:r>
      <w:bookmarkStart w:id="1" w:name="_Hlk145792741"/>
      <w:r w:rsidR="00182B90">
        <w:rPr>
          <w:rFonts w:ascii="Arial" w:hAnsi="Arial" w:cs="Arial"/>
          <w:sz w:val="24"/>
          <w:szCs w:val="24"/>
        </w:rPr>
        <w:t xml:space="preserve">Bifrenaria Haslemere </w:t>
      </w:r>
      <w:bookmarkEnd w:id="1"/>
      <w:r w:rsidR="00182B90">
        <w:rPr>
          <w:rFonts w:ascii="Arial" w:hAnsi="Arial" w:cs="Arial"/>
          <w:sz w:val="24"/>
          <w:szCs w:val="24"/>
        </w:rPr>
        <w:t xml:space="preserve">has one offspring Bifrenaria Jack Kings Legacy (Haslemere x </w:t>
      </w:r>
      <w:r w:rsidR="00182B90" w:rsidRPr="00182B90">
        <w:rPr>
          <w:rFonts w:ascii="Arial" w:hAnsi="Arial" w:cs="Arial"/>
          <w:i/>
          <w:iCs/>
          <w:sz w:val="24"/>
          <w:szCs w:val="24"/>
        </w:rPr>
        <w:t>villosula</w:t>
      </w:r>
      <w:r w:rsidR="00182B90">
        <w:rPr>
          <w:rFonts w:ascii="Arial" w:hAnsi="Arial" w:cs="Arial"/>
          <w:sz w:val="24"/>
          <w:szCs w:val="24"/>
        </w:rPr>
        <w:t xml:space="preserve">).  Bifrenaria Jack Kings Legacy has no offspring and not received an AOS award.  </w:t>
      </w:r>
      <w:r w:rsidR="00182B90" w:rsidRPr="00182B90">
        <w:rPr>
          <w:rFonts w:ascii="Arial" w:hAnsi="Arial" w:cs="Arial"/>
          <w:i/>
          <w:iCs/>
          <w:sz w:val="24"/>
          <w:szCs w:val="24"/>
        </w:rPr>
        <w:t xml:space="preserve"> </w:t>
      </w:r>
      <w:r w:rsidR="00182B90">
        <w:rPr>
          <w:rFonts w:ascii="Arial" w:hAnsi="Arial" w:cs="Arial"/>
          <w:sz w:val="24"/>
          <w:szCs w:val="24"/>
        </w:rPr>
        <w:t xml:space="preserve">   </w:t>
      </w:r>
      <w:r w:rsidR="002A08B6">
        <w:rPr>
          <w:rFonts w:ascii="Arial" w:hAnsi="Arial" w:cs="Arial"/>
          <w:sz w:val="24"/>
          <w:szCs w:val="24"/>
        </w:rPr>
        <w:t xml:space="preserve"> </w:t>
      </w:r>
      <w:r w:rsidR="00591E03">
        <w:rPr>
          <w:rFonts w:ascii="Arial" w:hAnsi="Arial" w:cs="Arial"/>
          <w:sz w:val="24"/>
          <w:szCs w:val="24"/>
        </w:rPr>
        <w:t xml:space="preserve"> </w:t>
      </w:r>
    </w:p>
    <w:p w14:paraId="411630F4" w14:textId="77777777" w:rsidR="00D95614" w:rsidRDefault="00D95614" w:rsidP="00591E03">
      <w:pPr>
        <w:pStyle w:val="Body"/>
        <w:rPr>
          <w:rFonts w:ascii="Arial" w:hAnsi="Arial" w:cs="Arial"/>
          <w:sz w:val="24"/>
          <w:szCs w:val="24"/>
        </w:rPr>
      </w:pPr>
    </w:p>
    <w:p w14:paraId="1E76892D" w14:textId="62D04176" w:rsidR="00D95614" w:rsidRDefault="00182B90" w:rsidP="00182B90">
      <w:pPr>
        <w:pStyle w:val="Body"/>
        <w:jc w:val="center"/>
        <w:rPr>
          <w:rFonts w:ascii="Arial" w:hAnsi="Arial" w:cs="Arial"/>
          <w:sz w:val="24"/>
          <w:szCs w:val="24"/>
        </w:rPr>
      </w:pPr>
      <w:r>
        <w:rPr>
          <w:rFonts w:ascii="Arial" w:hAnsi="Arial" w:cs="Arial"/>
          <w:noProof/>
          <w:sz w:val="24"/>
          <w:szCs w:val="24"/>
        </w:rPr>
        <w:lastRenderedPageBreak/>
        <w:drawing>
          <wp:inline distT="0" distB="0" distL="0" distR="0" wp14:anchorId="1B7FEB6B" wp14:editId="7ADF03BD">
            <wp:extent cx="3319145" cy="4425526"/>
            <wp:effectExtent l="0" t="0" r="0" b="0"/>
            <wp:docPr id="2094447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3980" cy="4431972"/>
                    </a:xfrm>
                    <a:prstGeom prst="rect">
                      <a:avLst/>
                    </a:prstGeom>
                    <a:noFill/>
                  </pic:spPr>
                </pic:pic>
              </a:graphicData>
            </a:graphic>
          </wp:inline>
        </w:drawing>
      </w:r>
    </w:p>
    <w:p w14:paraId="238FF71B" w14:textId="2F9761D3" w:rsidR="003C7030" w:rsidRDefault="00182B90" w:rsidP="00182B90">
      <w:pPr>
        <w:pStyle w:val="Body"/>
        <w:jc w:val="center"/>
        <w:rPr>
          <w:rFonts w:ascii="Arial" w:hAnsi="Arial" w:cs="Arial"/>
          <w:sz w:val="24"/>
          <w:szCs w:val="24"/>
        </w:rPr>
      </w:pPr>
      <w:r w:rsidRPr="00182B90">
        <w:rPr>
          <w:rFonts w:ascii="Arial" w:hAnsi="Arial" w:cs="Arial"/>
          <w:sz w:val="24"/>
          <w:szCs w:val="24"/>
        </w:rPr>
        <w:t>Bifrenaria Haslemere</w:t>
      </w:r>
    </w:p>
    <w:p w14:paraId="747E7479" w14:textId="416835E6" w:rsidR="003C7030" w:rsidRDefault="00182B90" w:rsidP="003C7030">
      <w:pPr>
        <w:pStyle w:val="Body"/>
        <w:jc w:val="center"/>
        <w:rPr>
          <w:rFonts w:ascii="Arial" w:hAnsi="Arial" w:cs="Arial"/>
          <w:sz w:val="24"/>
          <w:szCs w:val="24"/>
        </w:rPr>
      </w:pPr>
      <w:r>
        <w:rPr>
          <w:rFonts w:ascii="Arial" w:hAnsi="Arial" w:cs="Arial"/>
          <w:sz w:val="24"/>
          <w:szCs w:val="24"/>
        </w:rPr>
        <w:t>P</w:t>
      </w:r>
      <w:r w:rsidR="003C7030">
        <w:rPr>
          <w:rFonts w:ascii="Arial" w:hAnsi="Arial" w:cs="Arial"/>
          <w:sz w:val="24"/>
          <w:szCs w:val="24"/>
        </w:rPr>
        <w:t xml:space="preserve">hotography by </w:t>
      </w:r>
      <w:r>
        <w:rPr>
          <w:rFonts w:ascii="Arial" w:hAnsi="Arial" w:cs="Arial"/>
          <w:sz w:val="24"/>
          <w:szCs w:val="24"/>
        </w:rPr>
        <w:t>Harbinger Orchids</w:t>
      </w:r>
    </w:p>
    <w:p w14:paraId="3DE5333B" w14:textId="77777777" w:rsidR="003C7030" w:rsidRDefault="003C7030" w:rsidP="003C7030">
      <w:pPr>
        <w:pStyle w:val="Body"/>
        <w:jc w:val="center"/>
        <w:rPr>
          <w:rFonts w:ascii="Arial" w:hAnsi="Arial" w:cs="Arial"/>
          <w:sz w:val="24"/>
          <w:szCs w:val="24"/>
        </w:rPr>
      </w:pPr>
    </w:p>
    <w:p w14:paraId="13FDF5CC" w14:textId="101B23DB" w:rsidR="00591E03" w:rsidRPr="00C200FE" w:rsidRDefault="00591E03" w:rsidP="00BD29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p>
    <w:p w14:paraId="7188E992" w14:textId="4C6621BD"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EA12E9">
        <w:rPr>
          <w:rFonts w:ascii="Arial" w:hAnsi="Arial" w:cs="Arial"/>
          <w:b/>
          <w:bCs/>
          <w:u w:val="single"/>
        </w:rPr>
        <w:t>References</w:t>
      </w:r>
    </w:p>
    <w:p w14:paraId="72E2D7EB" w14:textId="77777777" w:rsidR="00910461" w:rsidRDefault="0091046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39A3C35B" w14:textId="0836ED94" w:rsidR="00910461" w:rsidRPr="00910461" w:rsidRDefault="0091046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10461">
        <w:rPr>
          <w:rFonts w:ascii="Arial" w:hAnsi="Arial" w:cs="Arial"/>
        </w:rPr>
        <w:t>da Rocha Fiuza de Melo, M., and et. al. (2007). Flora Fanerogâmica da Ilha do Cardoso 12: 1-289. Instituto de Botânica, São Paulo, Brasil.</w:t>
      </w:r>
    </w:p>
    <w:p w14:paraId="33724CDC" w14:textId="77777777"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1889439" w14:textId="0D5618A0"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t>Govaerts, R. (2003). World Checklist of Monocotyledons Database in ACCESS: 1-71827. The Board of Trustees of the Royal Botanic Gardens, Kew.</w:t>
      </w:r>
    </w:p>
    <w:p w14:paraId="2A3CF21D" w14:textId="77777777"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F007D76" w14:textId="1070D6CF"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t>Govaerts, R. (1996). World Checklist of Seed Plants 2(1, 2): 1-492. MIM, Deurne.</w:t>
      </w:r>
    </w:p>
    <w:p w14:paraId="2CFF1D27" w14:textId="77777777" w:rsidR="00571C54" w:rsidRDefault="00571C54"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4AF731" w14:textId="417CCBF5"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D29BE">
        <w:rPr>
          <w:rFonts w:ascii="Arial" w:hAnsi="Arial" w:cs="Arial"/>
        </w:rPr>
        <w:t xml:space="preserve">Kew (n.d.).  </w:t>
      </w:r>
      <w:r w:rsidR="00910461">
        <w:rPr>
          <w:rFonts w:ascii="Arial" w:hAnsi="Arial" w:cs="Arial"/>
        </w:rPr>
        <w:t>Bifrenaria aureofulva</w:t>
      </w:r>
      <w:r w:rsidRPr="00BD29BE">
        <w:rPr>
          <w:rFonts w:ascii="Arial" w:hAnsi="Arial" w:cs="Arial"/>
        </w:rPr>
        <w:t>.  Royal Botanical Gardens Kew: Plants of the World Online.  Retrieved May 2</w:t>
      </w:r>
      <w:r>
        <w:rPr>
          <w:rFonts w:ascii="Arial" w:hAnsi="Arial" w:cs="Arial"/>
        </w:rPr>
        <w:t>6</w:t>
      </w:r>
      <w:r w:rsidRPr="00BD29BE">
        <w:rPr>
          <w:rFonts w:ascii="Arial" w:hAnsi="Arial" w:cs="Arial"/>
        </w:rPr>
        <w:t xml:space="preserve">, 2023, from   </w:t>
      </w:r>
      <w:r w:rsidR="00910461" w:rsidRPr="00910461">
        <w:rPr>
          <w:rFonts w:ascii="Arial" w:hAnsi="Arial" w:cs="Arial"/>
        </w:rPr>
        <w:t>https://powo.science.kew.org/taxon/urn:lsid:ipni.org:names:617537-1</w:t>
      </w:r>
      <w:r w:rsidR="00910461">
        <w:rPr>
          <w:rFonts w:ascii="Arial" w:hAnsi="Arial" w:cs="Arial"/>
        </w:rPr>
        <w:t>.</w:t>
      </w:r>
    </w:p>
    <w:p w14:paraId="00F36084" w14:textId="77777777" w:rsidR="00BD29BE" w:rsidRDefault="00BD29B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0EB81E6" w14:textId="34F0F0AC" w:rsid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 xml:space="preserve">Koehler, S. </w:t>
      </w:r>
      <w:r w:rsidR="00182B90">
        <w:rPr>
          <w:rFonts w:ascii="Arial" w:hAnsi="Arial" w:cs="Arial"/>
        </w:rPr>
        <w:t xml:space="preserve">and </w:t>
      </w:r>
      <w:r w:rsidRPr="00451032">
        <w:rPr>
          <w:rFonts w:ascii="Arial" w:hAnsi="Arial" w:cs="Arial"/>
        </w:rPr>
        <w:t>do Camaro Estanislau do Amaral, M. (2004). A taxonomic study of the South American genus Bifrenaria Lindl. (Orchidaceae). Brittonia 56: 314-345.</w:t>
      </w:r>
    </w:p>
    <w:p w14:paraId="5B968A0D" w14:textId="77777777" w:rsidR="00910461" w:rsidRDefault="00910461"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5B95228" w14:textId="4553AE7D" w:rsidR="00910461" w:rsidRPr="00451032" w:rsidRDefault="00910461"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lastRenderedPageBreak/>
        <w:t>OrchidWiz. X9.0.</w:t>
      </w:r>
    </w:p>
    <w:p w14:paraId="34CDE261" w14:textId="77777777" w:rsidR="00182B90" w:rsidRDefault="00182B90"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5E2FD04" w14:textId="45B11F6C" w:rsid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Toscano de Brito, A.</w:t>
      </w:r>
      <w:r w:rsidR="00182B90">
        <w:rPr>
          <w:rFonts w:ascii="Arial" w:hAnsi="Arial" w:cs="Arial"/>
        </w:rPr>
        <w:t xml:space="preserve">, and </w:t>
      </w:r>
      <w:r w:rsidRPr="00451032">
        <w:rPr>
          <w:rFonts w:ascii="Arial" w:hAnsi="Arial" w:cs="Arial"/>
        </w:rPr>
        <w:t>Cribb, P. (2006). Orquídeas da Chapada Diamantina: 1-400. Nova Fronteira, Brazil.</w:t>
      </w:r>
    </w:p>
    <w:p w14:paraId="5F6DB784" w14:textId="77777777" w:rsidR="00182B90" w:rsidRPr="00451032" w:rsidRDefault="00182B90"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0115F97" w14:textId="3559924A" w:rsid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51032">
        <w:rPr>
          <w:rFonts w:ascii="Arial" w:hAnsi="Arial" w:cs="Arial"/>
        </w:rPr>
        <w:t>Zappi, D.C.</w:t>
      </w:r>
      <w:r w:rsidR="00182B90">
        <w:rPr>
          <w:rFonts w:ascii="Arial" w:hAnsi="Arial" w:cs="Arial"/>
        </w:rPr>
        <w:t>, and et.</w:t>
      </w:r>
      <w:r w:rsidRPr="00451032">
        <w:rPr>
          <w:rFonts w:ascii="Arial" w:hAnsi="Arial" w:cs="Arial"/>
        </w:rPr>
        <w:t xml:space="preserve"> al. (2003). Lista das plantas vasculares de Catoles. Boletim de Botânica da Universidade de São Paulo 21(2): 345-398.</w:t>
      </w:r>
    </w:p>
    <w:p w14:paraId="71F7641E" w14:textId="77777777" w:rsidR="00182B90" w:rsidRPr="00451032" w:rsidRDefault="00182B90"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1D6F915" w14:textId="77777777" w:rsidR="00910461" w:rsidRPr="00451032" w:rsidRDefault="00910461"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0B1E11E" w14:textId="77777777" w:rsidR="00451032" w:rsidRDefault="00451032" w:rsidP="0045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sectPr w:rsidR="00451032">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6B7B1" w14:textId="77777777" w:rsidR="002D5F0B" w:rsidRDefault="002D5F0B">
      <w:r>
        <w:separator/>
      </w:r>
    </w:p>
  </w:endnote>
  <w:endnote w:type="continuationSeparator" w:id="0">
    <w:p w14:paraId="35C1780B" w14:textId="77777777" w:rsidR="002D5F0B" w:rsidRDefault="002D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166AB" w14:textId="77777777" w:rsidR="002D5F0B" w:rsidRDefault="002D5F0B">
      <w:r>
        <w:separator/>
      </w:r>
    </w:p>
  </w:footnote>
  <w:footnote w:type="continuationSeparator" w:id="0">
    <w:p w14:paraId="521494DE" w14:textId="77777777" w:rsidR="002D5F0B" w:rsidRDefault="002D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361D9D39" w:rsidR="0066510D" w:rsidRDefault="00A67C56" w:rsidP="0066510D">
    <w:pPr>
      <w:jc w:val="center"/>
    </w:pPr>
    <w:r>
      <w:t>Timothy M. Brown</w:t>
    </w:r>
    <w:r>
      <w:tab/>
    </w:r>
    <w:r>
      <w:tab/>
    </w:r>
    <w:r>
      <w:tab/>
    </w:r>
    <w:r>
      <w:tab/>
    </w:r>
    <w:r>
      <w:ptab w:relativeTo="margin" w:alignment="right" w:leader="none"/>
    </w:r>
    <w:r w:rsidR="00571C54">
      <w:t>May</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27B0C"/>
    <w:rsid w:val="0003290A"/>
    <w:rsid w:val="000464BC"/>
    <w:rsid w:val="00050ECB"/>
    <w:rsid w:val="0005455A"/>
    <w:rsid w:val="00060BF8"/>
    <w:rsid w:val="00063B92"/>
    <w:rsid w:val="000659AD"/>
    <w:rsid w:val="000717A7"/>
    <w:rsid w:val="000833C1"/>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41C6F"/>
    <w:rsid w:val="0015362C"/>
    <w:rsid w:val="00162421"/>
    <w:rsid w:val="00165E8C"/>
    <w:rsid w:val="00182B90"/>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613E9"/>
    <w:rsid w:val="0026442A"/>
    <w:rsid w:val="00271731"/>
    <w:rsid w:val="0028074E"/>
    <w:rsid w:val="00285E39"/>
    <w:rsid w:val="0029039C"/>
    <w:rsid w:val="002A08B6"/>
    <w:rsid w:val="002A315B"/>
    <w:rsid w:val="002A48C4"/>
    <w:rsid w:val="002B472A"/>
    <w:rsid w:val="002C47E1"/>
    <w:rsid w:val="002D5F0B"/>
    <w:rsid w:val="002D7542"/>
    <w:rsid w:val="002E172B"/>
    <w:rsid w:val="002E3D55"/>
    <w:rsid w:val="002E492E"/>
    <w:rsid w:val="002F4709"/>
    <w:rsid w:val="00302B7F"/>
    <w:rsid w:val="00305C52"/>
    <w:rsid w:val="00312AA3"/>
    <w:rsid w:val="003133F0"/>
    <w:rsid w:val="00327ACA"/>
    <w:rsid w:val="00337398"/>
    <w:rsid w:val="00345B33"/>
    <w:rsid w:val="00350E0C"/>
    <w:rsid w:val="00361B9D"/>
    <w:rsid w:val="00361E84"/>
    <w:rsid w:val="003649E8"/>
    <w:rsid w:val="00364EA1"/>
    <w:rsid w:val="00370C32"/>
    <w:rsid w:val="00373805"/>
    <w:rsid w:val="00373C4E"/>
    <w:rsid w:val="00373E34"/>
    <w:rsid w:val="00386452"/>
    <w:rsid w:val="0039676D"/>
    <w:rsid w:val="00396851"/>
    <w:rsid w:val="003972C2"/>
    <w:rsid w:val="003B6501"/>
    <w:rsid w:val="003C0A1F"/>
    <w:rsid w:val="003C7030"/>
    <w:rsid w:val="003D2BA5"/>
    <w:rsid w:val="003D4225"/>
    <w:rsid w:val="003E3D0D"/>
    <w:rsid w:val="003E6A0A"/>
    <w:rsid w:val="003F25D2"/>
    <w:rsid w:val="003F6FEA"/>
    <w:rsid w:val="00401550"/>
    <w:rsid w:val="004033B8"/>
    <w:rsid w:val="00414687"/>
    <w:rsid w:val="00420D08"/>
    <w:rsid w:val="00431435"/>
    <w:rsid w:val="00451032"/>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71C54"/>
    <w:rsid w:val="0059115B"/>
    <w:rsid w:val="005913A6"/>
    <w:rsid w:val="00591E03"/>
    <w:rsid w:val="00597E09"/>
    <w:rsid w:val="005A2737"/>
    <w:rsid w:val="005A34D0"/>
    <w:rsid w:val="005A44E1"/>
    <w:rsid w:val="005A58E9"/>
    <w:rsid w:val="005A7F04"/>
    <w:rsid w:val="005C0A4D"/>
    <w:rsid w:val="005C51D5"/>
    <w:rsid w:val="005D0438"/>
    <w:rsid w:val="005E4C7D"/>
    <w:rsid w:val="005E6A68"/>
    <w:rsid w:val="005E7099"/>
    <w:rsid w:val="005F0CAA"/>
    <w:rsid w:val="005F15C8"/>
    <w:rsid w:val="005F734A"/>
    <w:rsid w:val="005F7C3D"/>
    <w:rsid w:val="006123A0"/>
    <w:rsid w:val="00616DFC"/>
    <w:rsid w:val="00617FEF"/>
    <w:rsid w:val="00635032"/>
    <w:rsid w:val="00644D35"/>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C0128"/>
    <w:rsid w:val="006C6E23"/>
    <w:rsid w:val="006D5E75"/>
    <w:rsid w:val="006F5FDA"/>
    <w:rsid w:val="0070344B"/>
    <w:rsid w:val="00703E34"/>
    <w:rsid w:val="00705362"/>
    <w:rsid w:val="0071257D"/>
    <w:rsid w:val="00713AA4"/>
    <w:rsid w:val="00713F32"/>
    <w:rsid w:val="00722BED"/>
    <w:rsid w:val="00733C7F"/>
    <w:rsid w:val="0073474B"/>
    <w:rsid w:val="0074375E"/>
    <w:rsid w:val="0075553A"/>
    <w:rsid w:val="00760467"/>
    <w:rsid w:val="00762188"/>
    <w:rsid w:val="00776214"/>
    <w:rsid w:val="00782076"/>
    <w:rsid w:val="00797D5B"/>
    <w:rsid w:val="007A1079"/>
    <w:rsid w:val="007A2E0E"/>
    <w:rsid w:val="007A2E6E"/>
    <w:rsid w:val="007A38EA"/>
    <w:rsid w:val="007A6784"/>
    <w:rsid w:val="007B2A32"/>
    <w:rsid w:val="007B31E6"/>
    <w:rsid w:val="007C0FFE"/>
    <w:rsid w:val="007D2230"/>
    <w:rsid w:val="007E6281"/>
    <w:rsid w:val="007F6A6F"/>
    <w:rsid w:val="00811EDA"/>
    <w:rsid w:val="00813FC2"/>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0461"/>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D0A15"/>
    <w:rsid w:val="009D0AB4"/>
    <w:rsid w:val="009D6FC0"/>
    <w:rsid w:val="009E1653"/>
    <w:rsid w:val="009E4A70"/>
    <w:rsid w:val="009F1436"/>
    <w:rsid w:val="009F6D8D"/>
    <w:rsid w:val="009F7B00"/>
    <w:rsid w:val="00A00845"/>
    <w:rsid w:val="00A0751C"/>
    <w:rsid w:val="00A10E72"/>
    <w:rsid w:val="00A11609"/>
    <w:rsid w:val="00A1793C"/>
    <w:rsid w:val="00A336A6"/>
    <w:rsid w:val="00A60714"/>
    <w:rsid w:val="00A64313"/>
    <w:rsid w:val="00A67C56"/>
    <w:rsid w:val="00A70448"/>
    <w:rsid w:val="00A70AED"/>
    <w:rsid w:val="00A72038"/>
    <w:rsid w:val="00A74353"/>
    <w:rsid w:val="00A77CB4"/>
    <w:rsid w:val="00A8277E"/>
    <w:rsid w:val="00A82CA1"/>
    <w:rsid w:val="00A91F25"/>
    <w:rsid w:val="00AA033E"/>
    <w:rsid w:val="00AA6677"/>
    <w:rsid w:val="00AC376B"/>
    <w:rsid w:val="00AC3A1C"/>
    <w:rsid w:val="00AC7DBC"/>
    <w:rsid w:val="00AD2B4F"/>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253F5"/>
    <w:rsid w:val="00B32414"/>
    <w:rsid w:val="00B3343C"/>
    <w:rsid w:val="00B34DE4"/>
    <w:rsid w:val="00B37F79"/>
    <w:rsid w:val="00B41C3D"/>
    <w:rsid w:val="00B42D08"/>
    <w:rsid w:val="00B57081"/>
    <w:rsid w:val="00B61577"/>
    <w:rsid w:val="00B871E3"/>
    <w:rsid w:val="00B90913"/>
    <w:rsid w:val="00B92F28"/>
    <w:rsid w:val="00B94B84"/>
    <w:rsid w:val="00B95E17"/>
    <w:rsid w:val="00B96FC0"/>
    <w:rsid w:val="00BA1EBF"/>
    <w:rsid w:val="00BC7A2C"/>
    <w:rsid w:val="00BD29BE"/>
    <w:rsid w:val="00BD6E35"/>
    <w:rsid w:val="00BE0D65"/>
    <w:rsid w:val="00BF0D81"/>
    <w:rsid w:val="00BF38AE"/>
    <w:rsid w:val="00BF7B07"/>
    <w:rsid w:val="00BF7DB3"/>
    <w:rsid w:val="00C02862"/>
    <w:rsid w:val="00C04E12"/>
    <w:rsid w:val="00C077E7"/>
    <w:rsid w:val="00C10DFB"/>
    <w:rsid w:val="00C1248F"/>
    <w:rsid w:val="00C12AD2"/>
    <w:rsid w:val="00C17611"/>
    <w:rsid w:val="00C17BB5"/>
    <w:rsid w:val="00C200FE"/>
    <w:rsid w:val="00C2235D"/>
    <w:rsid w:val="00C2651E"/>
    <w:rsid w:val="00C27FE1"/>
    <w:rsid w:val="00C35130"/>
    <w:rsid w:val="00C42038"/>
    <w:rsid w:val="00C4488D"/>
    <w:rsid w:val="00C45040"/>
    <w:rsid w:val="00C70292"/>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1D53"/>
    <w:rsid w:val="00D77622"/>
    <w:rsid w:val="00D830F5"/>
    <w:rsid w:val="00D834C5"/>
    <w:rsid w:val="00D84E27"/>
    <w:rsid w:val="00D95614"/>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1D3"/>
    <w:rsid w:val="00E24A20"/>
    <w:rsid w:val="00E278DD"/>
    <w:rsid w:val="00E41B2D"/>
    <w:rsid w:val="00E45857"/>
    <w:rsid w:val="00E500A6"/>
    <w:rsid w:val="00E50231"/>
    <w:rsid w:val="00E51A01"/>
    <w:rsid w:val="00E54C57"/>
    <w:rsid w:val="00E54E55"/>
    <w:rsid w:val="00E56CD4"/>
    <w:rsid w:val="00E61A71"/>
    <w:rsid w:val="00E633F0"/>
    <w:rsid w:val="00E71127"/>
    <w:rsid w:val="00E7202B"/>
    <w:rsid w:val="00E75CDD"/>
    <w:rsid w:val="00E76FE4"/>
    <w:rsid w:val="00E927F5"/>
    <w:rsid w:val="00E971C6"/>
    <w:rsid w:val="00EA12E9"/>
    <w:rsid w:val="00EA6D2B"/>
    <w:rsid w:val="00EC1A05"/>
    <w:rsid w:val="00EE1A05"/>
    <w:rsid w:val="00EF1414"/>
    <w:rsid w:val="00F026B3"/>
    <w:rsid w:val="00F07402"/>
    <w:rsid w:val="00F1370E"/>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3</cp:revision>
  <cp:lastPrinted>2023-08-30T12:17:00Z</cp:lastPrinted>
  <dcterms:created xsi:type="dcterms:W3CDTF">2023-09-17T02:47:00Z</dcterms:created>
  <dcterms:modified xsi:type="dcterms:W3CDTF">2023-09-17T03:00:00Z</dcterms:modified>
</cp:coreProperties>
</file>